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5F" w:rsidRPr="00AD3AEA" w:rsidRDefault="00A84B5F" w:rsidP="00A84B5F">
      <w:r>
        <w:rPr>
          <w:rFonts w:ascii="Times New Roman" w:eastAsia="华文中宋" w:hAnsi="Times New Roman"/>
          <w:b/>
          <w:sz w:val="28"/>
          <w:szCs w:val="28"/>
        </w:rPr>
        <w:t>Appendix 2</w:t>
      </w:r>
    </w:p>
    <w:p w:rsidR="00A84B5F" w:rsidRDefault="00A84B5F" w:rsidP="000648A7">
      <w:pPr>
        <w:widowControl/>
        <w:adjustRightInd w:val="0"/>
        <w:snapToGrid w:val="0"/>
        <w:spacing w:afterLines="100" w:line="276" w:lineRule="auto"/>
        <w:jc w:val="center"/>
        <w:rPr>
          <w:rFonts w:ascii="Times New Roman" w:eastAsia="华文中宋" w:hAnsi="Times New Roman"/>
          <w:b/>
          <w:sz w:val="28"/>
          <w:szCs w:val="28"/>
        </w:rPr>
      </w:pPr>
    </w:p>
    <w:p w:rsidR="00A84B5F" w:rsidRDefault="00A84B5F" w:rsidP="000648A7">
      <w:pPr>
        <w:widowControl/>
        <w:adjustRightInd w:val="0"/>
        <w:snapToGrid w:val="0"/>
        <w:spacing w:afterLines="100" w:line="276" w:lineRule="auto"/>
        <w:jc w:val="center"/>
        <w:rPr>
          <w:rFonts w:ascii="Times New Roman" w:eastAsia="华文中宋" w:hAnsi="Times New Roman"/>
          <w:b/>
          <w:sz w:val="28"/>
          <w:szCs w:val="28"/>
        </w:rPr>
      </w:pPr>
      <w:bookmarkStart w:id="0" w:name="_GoBack"/>
      <w:bookmarkEnd w:id="0"/>
      <w:r>
        <w:rPr>
          <w:rFonts w:ascii="Times New Roman" w:eastAsia="华文中宋" w:hAnsi="Times New Roman"/>
          <w:b/>
          <w:sz w:val="28"/>
          <w:szCs w:val="28"/>
        </w:rPr>
        <w:t>HEDGE TRADING RULES OF THE SHANGHAI FUTURES EXCHANGE</w:t>
      </w:r>
    </w:p>
    <w:p w:rsidR="00A84B5F" w:rsidRDefault="00A84B5F" w:rsidP="000648A7">
      <w:pPr>
        <w:widowControl/>
        <w:tabs>
          <w:tab w:val="left" w:pos="1560"/>
        </w:tabs>
        <w:adjustRightInd w:val="0"/>
        <w:snapToGrid w:val="0"/>
        <w:spacing w:beforeLines="150" w:afterLines="100" w:line="276" w:lineRule="auto"/>
        <w:jc w:val="center"/>
        <w:rPr>
          <w:rFonts w:ascii="Times New Roman" w:eastAsia="华文中宋" w:hAnsi="Times New Roman"/>
          <w:b/>
          <w:sz w:val="28"/>
          <w:szCs w:val="28"/>
        </w:rPr>
      </w:pPr>
      <w:r>
        <w:rPr>
          <w:rFonts w:ascii="Times New Roman" w:eastAsia="华文中宋" w:hAnsi="Times New Roman"/>
          <w:b/>
          <w:sz w:val="28"/>
          <w:szCs w:val="28"/>
        </w:rPr>
        <w:t>(Revised Version)</w:t>
      </w:r>
    </w:p>
    <w:p w:rsidR="00A84B5F" w:rsidRDefault="00A84B5F" w:rsidP="000648A7">
      <w:pPr>
        <w:widowControl/>
        <w:tabs>
          <w:tab w:val="left" w:pos="1560"/>
        </w:tabs>
        <w:adjustRightInd w:val="0"/>
        <w:snapToGrid w:val="0"/>
        <w:spacing w:beforeLines="150" w:afterLines="100" w:line="276" w:lineRule="auto"/>
        <w:jc w:val="center"/>
        <w:rPr>
          <w:rFonts w:ascii="Times New Roman" w:hAnsi="Times New Roman"/>
          <w:b/>
          <w:sz w:val="22"/>
        </w:rPr>
      </w:pPr>
      <w:r>
        <w:rPr>
          <w:rFonts w:ascii="Times New Roman" w:hAnsi="Times New Roman"/>
          <w:b/>
          <w:sz w:val="22"/>
        </w:rPr>
        <w:t>CHAPTER 1</w:t>
      </w:r>
      <w:r>
        <w:rPr>
          <w:rFonts w:ascii="Times New Roman" w:hAnsi="Times New Roman"/>
          <w:b/>
          <w:sz w:val="22"/>
        </w:rPr>
        <w:tab/>
        <w:t>GENERAL PROVISIONS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w:t>
      </w:r>
      <w:r>
        <w:rPr>
          <w:rFonts w:ascii="Times New Roman" w:hAnsi="Times New Roman"/>
          <w:color w:val="000000"/>
          <w:sz w:val="22"/>
        </w:rPr>
        <w:tab/>
        <w:t xml:space="preserve">These </w:t>
      </w:r>
      <w:r>
        <w:rPr>
          <w:rFonts w:ascii="Times New Roman" w:hAnsi="Times New Roman"/>
          <w:i/>
          <w:iCs/>
          <w:color w:val="000000"/>
          <w:sz w:val="22"/>
        </w:rPr>
        <w:t>Hedge Trading Rules</w:t>
      </w:r>
      <w:r>
        <w:rPr>
          <w:rFonts w:ascii="Times New Roman" w:hAnsi="Times New Roman"/>
          <w:color w:val="000000"/>
          <w:sz w:val="22"/>
        </w:rPr>
        <w:t xml:space="preserve"> are made in accordance with the </w:t>
      </w:r>
      <w:r>
        <w:rPr>
          <w:rFonts w:ascii="Times New Roman" w:hAnsi="Times New Roman"/>
          <w:i/>
          <w:iCs/>
          <w:color w:val="000000"/>
          <w:sz w:val="22"/>
        </w:rPr>
        <w:t>General Exchange Rules of the Shanghai Futures Exchange</w:t>
      </w:r>
      <w:r>
        <w:rPr>
          <w:rFonts w:ascii="Times New Roman" w:hAnsi="Times New Roman"/>
          <w:color w:val="000000"/>
          <w:sz w:val="22"/>
        </w:rPr>
        <w:t xml:space="preserve"> and other applicable rules to boost the hedging functions of the futures market and promote its sound development.</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w:t>
      </w:r>
      <w:r>
        <w:rPr>
          <w:rFonts w:ascii="Times New Roman" w:hAnsi="Times New Roman"/>
          <w:color w:val="000000"/>
          <w:sz w:val="22"/>
        </w:rPr>
        <w:tab/>
        <w:t>Hedging positions are classified into regular month hedging positions and nearby delivery month hedging positions.</w:t>
      </w:r>
    </w:p>
    <w:p w:rsidR="00A84B5F" w:rsidRDefault="00A84B5F" w:rsidP="000648A7">
      <w:pPr>
        <w:spacing w:afterLines="100" w:line="276" w:lineRule="auto"/>
        <w:jc w:val="left"/>
        <w:rPr>
          <w:rFonts w:ascii="Times New Roman" w:hAnsi="Times New Roman"/>
          <w:color w:val="000000"/>
          <w:sz w:val="22"/>
        </w:rPr>
      </w:pPr>
      <w:bookmarkStart w:id="1" w:name="OLE_LINK405"/>
      <w:bookmarkEnd w:id="1"/>
      <w:r>
        <w:rPr>
          <w:rFonts w:ascii="Times New Roman" w:hAnsi="Times New Roman"/>
          <w:sz w:val="22"/>
        </w:rPr>
        <w:t>Hedging positions for copper, aluminum, zinc, lead, nickel, tin, aluminum oxide, steel rebar, wire rod, hot-rolled coil, stainless steel, gold, silver, natural rubber, petroleum bitumen (“bitumen”), butadiene rubber and bleached softwood kraft pulp (“BSKP”) futures are classified into hedging positions for regular months (i.e., from the day of listing to the last trading day of the second month before the delivery month) and hedging positions for nearby delivery months (i.e., from the first month before the delivery month to the delivery month).</w:t>
      </w:r>
    </w:p>
    <w:p w:rsidR="00A84B5F" w:rsidRDefault="00A84B5F" w:rsidP="000648A7">
      <w:pPr>
        <w:spacing w:afterLines="100" w:line="276" w:lineRule="auto"/>
        <w:jc w:val="left"/>
        <w:rPr>
          <w:rFonts w:ascii="Times New Roman" w:hAnsi="Times New Roman"/>
          <w:color w:val="000000"/>
          <w:sz w:val="22"/>
        </w:rPr>
      </w:pPr>
      <w:r>
        <w:rPr>
          <w:rFonts w:ascii="Times New Roman" w:hAnsi="Times New Roman"/>
          <w:color w:val="000000"/>
          <w:sz w:val="22"/>
        </w:rPr>
        <w:t>Hedging positions for fuel oil futures are classified into hedging positions for regular months (i.e., from the day of listing to the last trading day of the third month before the delivery month) and hedging positions for nearby delivery months (i.e., from the second month before the delivery month to the first month before the delivery month).</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w:t>
      </w:r>
      <w:r>
        <w:rPr>
          <w:rFonts w:ascii="Times New Roman" w:hAnsi="Times New Roman"/>
          <w:color w:val="000000"/>
          <w:sz w:val="22"/>
        </w:rPr>
        <w:tab/>
        <w:t xml:space="preserve">Members and Clients that engage in hedging activities on the Shanghai Futures Exchange (the “Exchange”) shall observe these </w:t>
      </w:r>
      <w:r>
        <w:rPr>
          <w:rFonts w:ascii="Times New Roman" w:hAnsi="Times New Roman"/>
          <w:i/>
          <w:iCs/>
          <w:color w:val="000000"/>
          <w:sz w:val="22"/>
        </w:rPr>
        <w:t>Hedge Trading Rules</w:t>
      </w:r>
      <w:r>
        <w:rPr>
          <w:rFonts w:ascii="Times New Roman" w:hAnsi="Times New Roman"/>
          <w:color w:val="000000"/>
          <w:sz w:val="22"/>
        </w:rPr>
        <w:t>.</w:t>
      </w:r>
    </w:p>
    <w:p w:rsidR="00A84B5F" w:rsidRDefault="00A84B5F" w:rsidP="000648A7">
      <w:pPr>
        <w:widowControl/>
        <w:tabs>
          <w:tab w:val="left" w:pos="1560"/>
        </w:tabs>
        <w:adjustRightInd w:val="0"/>
        <w:snapToGrid w:val="0"/>
        <w:spacing w:beforeLines="150" w:afterLines="100" w:line="276" w:lineRule="auto"/>
        <w:jc w:val="center"/>
        <w:rPr>
          <w:rFonts w:ascii="Times New Roman" w:hAnsi="Times New Roman"/>
          <w:b/>
          <w:sz w:val="22"/>
        </w:rPr>
      </w:pPr>
      <w:r>
        <w:rPr>
          <w:rFonts w:ascii="Times New Roman" w:hAnsi="Times New Roman"/>
          <w:b/>
          <w:sz w:val="22"/>
        </w:rPr>
        <w:t>CHAPTER 2</w:t>
      </w:r>
      <w:r>
        <w:rPr>
          <w:rFonts w:ascii="Times New Roman" w:hAnsi="Times New Roman"/>
          <w:b/>
          <w:sz w:val="22"/>
        </w:rPr>
        <w:tab/>
        <w:t>APPLICATION AND APPROVAL OF REGULAR MONTH HEDGING QUOTA</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4</w:t>
      </w:r>
      <w:r>
        <w:rPr>
          <w:rFonts w:ascii="Times New Roman" w:hAnsi="Times New Roman"/>
          <w:color w:val="000000"/>
          <w:sz w:val="22"/>
        </w:rPr>
        <w:tab/>
        <w:t xml:space="preserve">Regular month hedging positions require the approval of the Exchange. Regular month hedge is classified into long hedge and short hedge. </w:t>
      </w:r>
    </w:p>
    <w:p w:rsidR="00A84B5F" w:rsidRDefault="00A84B5F" w:rsidP="000648A7">
      <w:pPr>
        <w:spacing w:afterLines="100" w:line="276" w:lineRule="auto"/>
        <w:jc w:val="left"/>
        <w:rPr>
          <w:rFonts w:ascii="Times New Roman" w:eastAsia="方正仿宋简体" w:hAnsi="Times New Roman"/>
          <w:color w:val="000000"/>
          <w:sz w:val="22"/>
        </w:rPr>
      </w:pPr>
      <w:r>
        <w:rPr>
          <w:rFonts w:ascii="Times New Roman" w:hAnsi="Times New Roman"/>
          <w:color w:val="000000"/>
          <w:sz w:val="22"/>
        </w:rPr>
        <w:t xml:space="preserve">“Regular month long hedge” means taking a long hedging position in futures and call options or a short hedging position in put options; “regular month short hedge” means taking a short </w:t>
      </w:r>
      <w:r>
        <w:rPr>
          <w:rFonts w:ascii="Times New Roman" w:hAnsi="Times New Roman"/>
          <w:color w:val="000000"/>
          <w:sz w:val="22"/>
        </w:rPr>
        <w:lastRenderedPageBreak/>
        <w:t>hedging position in futures and call options or a long hedging position in put options.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5</w:t>
      </w:r>
      <w:r>
        <w:rPr>
          <w:rFonts w:ascii="Times New Roman" w:hAnsi="Times New Roman"/>
          <w:color w:val="000000"/>
          <w:sz w:val="22"/>
        </w:rPr>
        <w:tab/>
        <w:t xml:space="preserve">A Client that needs a regular month hedging quota shall apply to its carrying futures firm Member (“FF Member”), which shall, after reviewing the application, complete the application procedures with the Exchange pursuant to these </w:t>
      </w:r>
      <w:r>
        <w:rPr>
          <w:rFonts w:ascii="Times New Roman" w:hAnsi="Times New Roman"/>
          <w:i/>
          <w:iCs/>
          <w:color w:val="000000"/>
          <w:sz w:val="22"/>
        </w:rPr>
        <w:t>Hedge Trading Rules</w:t>
      </w:r>
      <w:r>
        <w:rPr>
          <w:rFonts w:ascii="Times New Roman" w:hAnsi="Times New Roman"/>
          <w:color w:val="000000"/>
          <w:sz w:val="22"/>
        </w:rPr>
        <w:t xml:space="preserve">. A Non-FF Member shall complete the procedures directly with the Exchange. </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6</w:t>
      </w:r>
      <w:r>
        <w:rPr>
          <w:rFonts w:ascii="Times New Roman" w:hAnsi="Times New Roman"/>
          <w:color w:val="000000"/>
          <w:sz w:val="22"/>
        </w:rPr>
        <w:tab/>
        <w:t xml:space="preserve">A Client or Non-FF Member applying for a regular month hedging quota shall have the production and business license of the product for hedging. </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7</w:t>
      </w:r>
      <w:r>
        <w:rPr>
          <w:rFonts w:ascii="Times New Roman" w:hAnsi="Times New Roman"/>
          <w:color w:val="000000"/>
          <w:sz w:val="22"/>
        </w:rPr>
        <w:tab/>
        <w:t xml:space="preserve">A Member or Client applying for a regular month hedging quota shall submit the following supporting materials to the Exchange: </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w:t>
      </w:r>
      <w:r>
        <w:rPr>
          <w:rFonts w:ascii="Times New Roman" w:hAnsi="Times New Roman"/>
          <w:color w:val="000000"/>
          <w:sz w:val="22"/>
        </w:rPr>
        <w:tab/>
        <w:t>a photocopy of the duplicate business license;</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(ii)</w:t>
      </w:r>
      <w:r>
        <w:rPr>
          <w:rFonts w:ascii="Times New Roman" w:hAnsi="Times New Roman"/>
          <w:color w:val="000000"/>
          <w:sz w:val="22"/>
        </w:rPr>
        <w:tab/>
        <w:t>materials proving the size of the physical commodity business, such as production plan for the current year or the following year, the audited financial statements of the latest year, warrants of physicals, inventory certificates, processing orders, purchase and sales contracts, and other valid proof of its possession of physicals;</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(iii)</w:t>
      </w:r>
      <w:r>
        <w:rPr>
          <w:rFonts w:ascii="Times New Roman" w:hAnsi="Times New Roman"/>
          <w:color w:val="000000"/>
          <w:sz w:val="22"/>
        </w:rPr>
        <w:tab/>
        <w:t xml:space="preserve">a hedging plan, mainly including analyses of the source of risks, hedging objectives, and expected volumes to be delivered or closed out; and </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(iv)</w:t>
      </w:r>
      <w:r>
        <w:rPr>
          <w:rFonts w:ascii="Times New Roman" w:hAnsi="Times New Roman"/>
          <w:color w:val="000000"/>
          <w:sz w:val="22"/>
        </w:rPr>
        <w:tab/>
        <w:t xml:space="preserve">other supporting materials required by the Exchange. </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8</w:t>
      </w:r>
      <w:r>
        <w:rPr>
          <w:rFonts w:ascii="Times New Roman" w:hAnsi="Times New Roman"/>
          <w:color w:val="000000"/>
          <w:sz w:val="22"/>
        </w:rPr>
        <w:tab/>
        <w:t xml:space="preserve">An application for a regular month hedging quota of a copper, aluminum, zinc, lead, nickel, tin, </w:t>
      </w:r>
      <w:r>
        <w:rPr>
          <w:rFonts w:ascii="Times New Roman" w:hAnsi="Times New Roman"/>
          <w:sz w:val="22"/>
        </w:rPr>
        <w:t xml:space="preserve">aluminum oxide, </w:t>
      </w:r>
      <w:r>
        <w:rPr>
          <w:rFonts w:ascii="Times New Roman" w:hAnsi="Times New Roman"/>
          <w:color w:val="000000"/>
          <w:sz w:val="22"/>
        </w:rPr>
        <w:t>steel rebar, wire rod, hot-rolled coil, stainless steel, gold, silver, natural rubber, bitumen, butadiene rubber and BSKP futures contract shall be submitted by the last trading day of the second month before the delivery month of the contract. Late applications will not be accepted by the Exchange. A Member or Client may simultaneously apply for a regular month hedging quota for multiple contracts.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9</w:t>
      </w:r>
      <w:r>
        <w:rPr>
          <w:rFonts w:ascii="Times New Roman" w:hAnsi="Times New Roman"/>
          <w:color w:val="000000"/>
          <w:sz w:val="22"/>
        </w:rPr>
        <w:tab/>
        <w:t>An application for a regular month hedging quota of a fuel oil futures contract shall be submitted by the last trading day of the third month before the delivery month of the contract. Late applications will not be accepted by the Exchange. A Member or Client may simultaneously apply for a regular month hedging quota for multiple contracts.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10</w:t>
      </w:r>
      <w:r>
        <w:rPr>
          <w:rFonts w:ascii="Times New Roman" w:hAnsi="Times New Roman"/>
          <w:color w:val="000000"/>
          <w:sz w:val="22"/>
        </w:rPr>
        <w:tab/>
        <w:t xml:space="preserve">The Exchange will determine the regular month hedging quota of an applicant based on, among others, its eligibility, the product for hedging, trading direction, trading quantity, hedging period, as well as production and business scale, past business performance, and financial conditions. The regular month hedging quota shall not exceed the quantity specified in the supporting materials. </w:t>
      </w:r>
    </w:p>
    <w:p w:rsidR="00A84B5F" w:rsidRDefault="00A84B5F" w:rsidP="000648A7">
      <w:pPr>
        <w:widowControl/>
        <w:tabs>
          <w:tab w:val="left" w:pos="1560"/>
        </w:tabs>
        <w:adjustRightInd w:val="0"/>
        <w:snapToGrid w:val="0"/>
        <w:spacing w:beforeLines="150" w:afterLines="100" w:line="276" w:lineRule="auto"/>
        <w:jc w:val="center"/>
        <w:rPr>
          <w:rFonts w:ascii="Times New Roman" w:hAnsi="Times New Roman"/>
          <w:b/>
          <w:sz w:val="22"/>
        </w:rPr>
      </w:pPr>
      <w:r>
        <w:rPr>
          <w:rFonts w:ascii="Times New Roman" w:hAnsi="Times New Roman"/>
          <w:b/>
          <w:sz w:val="22"/>
        </w:rPr>
        <w:t>CHAPTER 3</w:t>
      </w:r>
      <w:r>
        <w:rPr>
          <w:rFonts w:ascii="Times New Roman" w:hAnsi="Times New Roman"/>
          <w:b/>
          <w:sz w:val="22"/>
        </w:rPr>
        <w:tab/>
        <w:t>APPLICATION AND APPROVAL OF NEARBY DELIVERY MONTH HEDGING QUOTA</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lastRenderedPageBreak/>
        <w:t>Article 11</w:t>
      </w:r>
      <w:r>
        <w:rPr>
          <w:rFonts w:ascii="Times New Roman" w:hAnsi="Times New Roman"/>
          <w:color w:val="000000"/>
          <w:sz w:val="22"/>
        </w:rPr>
        <w:tab/>
        <w:t>Nearby delivery month hedging positions require the approval of the Exchange. Nearby delivery month hedge is classified into long hedge and short hedge.</w:t>
      </w:r>
    </w:p>
    <w:p w:rsidR="00A84B5F" w:rsidRDefault="00A84B5F" w:rsidP="000648A7">
      <w:pPr>
        <w:spacing w:afterLines="100" w:line="276" w:lineRule="auto"/>
        <w:jc w:val="left"/>
        <w:rPr>
          <w:rFonts w:ascii="Times New Roman" w:eastAsia="方正仿宋简体" w:hAnsi="Times New Roman"/>
          <w:color w:val="000000"/>
          <w:sz w:val="22"/>
        </w:rPr>
      </w:pPr>
      <w:r>
        <w:rPr>
          <w:rFonts w:ascii="Times New Roman" w:hAnsi="Times New Roman"/>
          <w:color w:val="000000"/>
          <w:sz w:val="22"/>
        </w:rPr>
        <w:t>“Nearby delivery month long hedge” means taking a long hedging position in futures and call options or a short hedging position in put options; “nearby delivery month short hedge” means taking a short hedging position in futures and call options or a long hedging position in put options.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12</w:t>
      </w:r>
      <w:r>
        <w:rPr>
          <w:rFonts w:ascii="Times New Roman" w:hAnsi="Times New Roman"/>
          <w:color w:val="000000"/>
          <w:sz w:val="22"/>
        </w:rPr>
        <w:tab/>
        <w:t xml:space="preserve">A Client that needs a nearby delivery month hedging quota shall apply to its carrying FF Member, which shall, after reviewing the application, complete the application procedures with the Exchange pursuant to these </w:t>
      </w:r>
      <w:r>
        <w:rPr>
          <w:rFonts w:ascii="Times New Roman" w:hAnsi="Times New Roman"/>
          <w:i/>
          <w:iCs/>
          <w:color w:val="000000"/>
          <w:sz w:val="22"/>
        </w:rPr>
        <w:t>Hedge Trading Rules</w:t>
      </w:r>
      <w:r>
        <w:rPr>
          <w:rFonts w:ascii="Times New Roman" w:hAnsi="Times New Roman"/>
          <w:color w:val="000000"/>
          <w:sz w:val="22"/>
        </w:rPr>
        <w:t xml:space="preserve">. A Non-FF Member shall complete the procedures directly with the Exchange. </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13</w:t>
      </w:r>
      <w:r>
        <w:rPr>
          <w:rFonts w:ascii="Times New Roman" w:hAnsi="Times New Roman"/>
          <w:color w:val="000000"/>
          <w:sz w:val="22"/>
        </w:rPr>
        <w:tab/>
        <w:t xml:space="preserve">A Member or Client applying for a nearby delivery month hedging quota shall submit the following supporting materials to the Exchange: </w:t>
      </w:r>
    </w:p>
    <w:p w:rsidR="00A84B5F" w:rsidRDefault="00A84B5F" w:rsidP="000648A7">
      <w:pPr>
        <w:widowControl/>
        <w:tabs>
          <w:tab w:val="left" w:pos="567"/>
        </w:tabs>
        <w:adjustRightInd w:val="0"/>
        <w:snapToGrid w:val="0"/>
        <w:spacing w:afterLines="100" w:line="276" w:lineRule="auto"/>
        <w:jc w:val="left"/>
        <w:rPr>
          <w:rFonts w:ascii="Times New Roman" w:eastAsia="方正仿宋简体" w:hAnsi="Times New Roman"/>
          <w:color w:val="000000"/>
          <w:sz w:val="22"/>
        </w:rPr>
      </w:pPr>
      <w:r>
        <w:rPr>
          <w:rFonts w:ascii="Times New Roman" w:hAnsi="Times New Roman"/>
          <w:color w:val="000000"/>
          <w:sz w:val="22"/>
        </w:rPr>
        <w:t>(i)</w:t>
      </w:r>
      <w:r>
        <w:rPr>
          <w:rFonts w:ascii="Times New Roman" w:hAnsi="Times New Roman"/>
          <w:color w:val="000000"/>
          <w:sz w:val="22"/>
        </w:rPr>
        <w:tab/>
        <w:t>a photocopy of the duplicate business license;</w:t>
      </w:r>
    </w:p>
    <w:p w:rsidR="00A84B5F" w:rsidRDefault="00A84B5F" w:rsidP="000648A7">
      <w:pPr>
        <w:widowControl/>
        <w:tabs>
          <w:tab w:val="left" w:pos="567"/>
        </w:tabs>
        <w:adjustRightInd w:val="0"/>
        <w:snapToGrid w:val="0"/>
        <w:spacing w:afterLines="100" w:line="276" w:lineRule="auto"/>
        <w:jc w:val="left"/>
        <w:rPr>
          <w:rFonts w:ascii="Times New Roman" w:eastAsia="方正仿宋简体" w:hAnsi="Times New Roman"/>
          <w:color w:val="000000"/>
          <w:sz w:val="22"/>
        </w:rPr>
      </w:pPr>
      <w:r>
        <w:rPr>
          <w:rFonts w:ascii="Times New Roman" w:hAnsi="Times New Roman"/>
          <w:color w:val="000000"/>
          <w:sz w:val="22"/>
        </w:rPr>
        <w:t>(ii)</w:t>
      </w:r>
      <w:r>
        <w:rPr>
          <w:rFonts w:ascii="Times New Roman" w:hAnsi="Times New Roman"/>
          <w:color w:val="000000"/>
          <w:sz w:val="22"/>
        </w:rPr>
        <w:tab/>
        <w:t xml:space="preserve">materials proving its genuine need for nearby delivery month hedging, such as production plan for the current year or the following year, warrants of physicals, inventory certificates, processing orders, purchase and sales contracts, and other valid proof of its possession of physicals; </w:t>
      </w:r>
    </w:p>
    <w:p w:rsidR="00A84B5F" w:rsidRDefault="00A84B5F" w:rsidP="000648A7">
      <w:pPr>
        <w:widowControl/>
        <w:tabs>
          <w:tab w:val="left" w:pos="567"/>
        </w:tabs>
        <w:adjustRightInd w:val="0"/>
        <w:snapToGrid w:val="0"/>
        <w:spacing w:afterLines="100" w:line="276" w:lineRule="auto"/>
        <w:jc w:val="left"/>
        <w:rPr>
          <w:rFonts w:ascii="Times New Roman" w:eastAsia="方正仿宋简体" w:hAnsi="Times New Roman"/>
          <w:color w:val="000000"/>
          <w:sz w:val="22"/>
        </w:rPr>
      </w:pPr>
      <w:r>
        <w:rPr>
          <w:rFonts w:ascii="Times New Roman" w:hAnsi="Times New Roman"/>
          <w:color w:val="000000"/>
          <w:sz w:val="22"/>
        </w:rPr>
        <w:t>(iii)</w:t>
      </w:r>
      <w:r>
        <w:rPr>
          <w:rFonts w:ascii="Times New Roman" w:hAnsi="Times New Roman"/>
          <w:color w:val="000000"/>
          <w:sz w:val="22"/>
        </w:rPr>
        <w:tab/>
        <w:t xml:space="preserve">a hedging plan, mainly including analyses of the source of risks, hedging objectives, and expected volumes to be delivered or closed out; and </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(iv)</w:t>
      </w:r>
      <w:r>
        <w:rPr>
          <w:rFonts w:ascii="Times New Roman" w:hAnsi="Times New Roman"/>
          <w:color w:val="000000"/>
          <w:sz w:val="22"/>
        </w:rPr>
        <w:tab/>
        <w:t>other supporting materials required by the Exchange.</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14</w:t>
      </w:r>
      <w:r>
        <w:rPr>
          <w:rFonts w:ascii="Times New Roman" w:hAnsi="Times New Roman"/>
          <w:color w:val="000000"/>
          <w:sz w:val="22"/>
        </w:rPr>
        <w:tab/>
        <w:t xml:space="preserve">An application for a nearby delivery month hedging quota of a copper, aluminum, zinc, lead, nickel, tin, </w:t>
      </w:r>
      <w:r>
        <w:rPr>
          <w:rFonts w:ascii="Times New Roman" w:hAnsi="Times New Roman"/>
          <w:sz w:val="22"/>
        </w:rPr>
        <w:t xml:space="preserve">aluminum oxide, </w:t>
      </w:r>
      <w:r>
        <w:rPr>
          <w:rFonts w:ascii="Times New Roman" w:hAnsi="Times New Roman"/>
          <w:color w:val="000000"/>
          <w:sz w:val="22"/>
        </w:rPr>
        <w:t>steel rebar, wire rod, hot-rolled coil, stainless steel, gold, silver, natural rubber, bitumen, butadiene rubber and BSKP futures contract shall be submitted between the first trading day of the third month before the delivery month of the contract and the last trading day of the first month before the delivery month. Late applications will not be accepted by the Exchange.</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15</w:t>
      </w:r>
      <w:r>
        <w:rPr>
          <w:rFonts w:ascii="Times New Roman" w:hAnsi="Times New Roman"/>
          <w:color w:val="000000"/>
          <w:sz w:val="22"/>
        </w:rPr>
        <w:tab/>
        <w:t>An application for a nearby delivery month hedging quota of a fuel oil futures contract shall be submitted between the first trading day of the fourth month before the delivery month of the contract and the last trading day of the second month before the delivery month. Late applications will not be accepted by the Exchange.</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16</w:t>
      </w:r>
      <w:r>
        <w:rPr>
          <w:rFonts w:ascii="Times New Roman" w:hAnsi="Times New Roman"/>
          <w:color w:val="000000"/>
          <w:sz w:val="22"/>
        </w:rPr>
        <w:tab/>
        <w:t xml:space="preserve">The Exchange will determine the nearby delivery month hedging quota of a Member or Client based on, among others, its trading direction and quantity, business operation of physicals, open positions in the corresponding futures contract, inventory of deliverable commodities at a Designated Delivery Warehouse, and whether the futures price diverges from the physical price. The nearby delivery month hedging quota shall not exceed the quantity specified in the supporting materials. </w:t>
      </w:r>
    </w:p>
    <w:p w:rsidR="00A84B5F" w:rsidRDefault="00A84B5F" w:rsidP="000648A7">
      <w:pPr>
        <w:spacing w:afterLines="100" w:line="276" w:lineRule="auto"/>
        <w:jc w:val="left"/>
        <w:rPr>
          <w:rFonts w:ascii="Times New Roman" w:hAnsi="Times New Roman"/>
          <w:color w:val="000000"/>
          <w:sz w:val="22"/>
        </w:rPr>
      </w:pPr>
      <w:r>
        <w:rPr>
          <w:rFonts w:ascii="Times New Roman" w:hAnsi="Times New Roman"/>
          <w:color w:val="000000"/>
          <w:sz w:val="22"/>
        </w:rPr>
        <w:lastRenderedPageBreak/>
        <w:t>The aggregate nearby delivery month hedging quotas of an applicant for all contracts during a year shall not exceed its production capacity or planned production of the year, or trading volume of the product in the last year.</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17</w:t>
      </w:r>
      <w:r>
        <w:rPr>
          <w:rFonts w:ascii="Times New Roman" w:hAnsi="Times New Roman"/>
          <w:color w:val="000000"/>
          <w:sz w:val="22"/>
        </w:rPr>
        <w:tab/>
        <w:t xml:space="preserve">If a Non-FF member or Client does not obtain a nearby delivery month hedging quota of a copper, aluminum, zinc, lead, nickel, tin, </w:t>
      </w:r>
      <w:r>
        <w:rPr>
          <w:rFonts w:ascii="Times New Roman" w:hAnsi="Times New Roman"/>
          <w:sz w:val="22"/>
        </w:rPr>
        <w:t xml:space="preserve">aluminum oxide, </w:t>
      </w:r>
      <w:r>
        <w:rPr>
          <w:rFonts w:ascii="Times New Roman" w:hAnsi="Times New Roman"/>
          <w:color w:val="000000"/>
          <w:sz w:val="22"/>
        </w:rPr>
        <w:t>steel rebar, wire rod, hot-rolled coil, stainless steel, gold, silver, natural rubber, bitumen, butadiene rubber and BSKP futures contract, then when the contract enters the first month before the delivery month and the delivery month,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rsidR="00A84B5F" w:rsidRDefault="00A84B5F" w:rsidP="000648A7">
      <w:pPr>
        <w:spacing w:afterLines="100" w:line="276" w:lineRule="auto"/>
        <w:jc w:val="left"/>
        <w:rPr>
          <w:rFonts w:ascii="Times New Roman" w:hAnsi="Times New Roman"/>
          <w:color w:val="000000"/>
          <w:sz w:val="22"/>
        </w:rPr>
      </w:pPr>
      <w:r>
        <w:rPr>
          <w:rFonts w:ascii="Times New Roman" w:hAnsi="Times New Roman"/>
          <w:color w:val="000000"/>
          <w:sz w:val="22"/>
        </w:rPr>
        <w:t>If a Non-FF member or Client does not obtain a nearby delivery month hedging quota of a fuel oil futures contract, then when the contract enters the second and first months before the delivery month,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rsidR="00A84B5F" w:rsidRDefault="00A84B5F" w:rsidP="000648A7">
      <w:pPr>
        <w:widowControl/>
        <w:tabs>
          <w:tab w:val="left" w:pos="1560"/>
        </w:tabs>
        <w:adjustRightInd w:val="0"/>
        <w:snapToGrid w:val="0"/>
        <w:spacing w:beforeLines="150" w:afterLines="100" w:line="276" w:lineRule="auto"/>
        <w:jc w:val="center"/>
        <w:rPr>
          <w:rFonts w:ascii="Times New Roman" w:hAnsi="Times New Roman"/>
          <w:b/>
          <w:sz w:val="22"/>
        </w:rPr>
      </w:pPr>
      <w:r>
        <w:rPr>
          <w:rFonts w:ascii="Times New Roman" w:hAnsi="Times New Roman"/>
          <w:b/>
          <w:sz w:val="22"/>
        </w:rPr>
        <w:t>CHAPTER 4</w:t>
      </w:r>
      <w:r>
        <w:rPr>
          <w:rFonts w:ascii="Times New Roman" w:hAnsi="Times New Roman"/>
          <w:b/>
          <w:sz w:val="22"/>
        </w:rPr>
        <w:tab/>
        <w:t>HEDGE TRADING</w:t>
      </w:r>
    </w:p>
    <w:p w:rsidR="00A84B5F" w:rsidRDefault="00A84B5F" w:rsidP="000648A7">
      <w:pPr>
        <w:tabs>
          <w:tab w:val="left" w:pos="1204"/>
        </w:tabs>
        <w:adjustRightInd w:val="0"/>
        <w:snapToGrid w:val="0"/>
        <w:spacing w:afterLines="100" w:line="276" w:lineRule="auto"/>
        <w:jc w:val="left"/>
        <w:rPr>
          <w:rFonts w:ascii="Times New Roman" w:hAnsi="Times New Roman"/>
          <w:bCs/>
          <w:sz w:val="24"/>
          <w:szCs w:val="24"/>
        </w:rPr>
      </w:pPr>
      <w:r>
        <w:rPr>
          <w:rFonts w:ascii="Times New Roman" w:hAnsi="Times New Roman"/>
          <w:b/>
          <w:bCs/>
          <w:color w:val="000000"/>
          <w:sz w:val="22"/>
        </w:rPr>
        <w:t>Article 18</w:t>
      </w:r>
      <w:r>
        <w:rPr>
          <w:rFonts w:ascii="Times New Roman" w:hAnsi="Times New Roman"/>
          <w:color w:val="000000"/>
          <w:sz w:val="22"/>
        </w:rPr>
        <w:tab/>
      </w:r>
      <w:r>
        <w:rPr>
          <w:rFonts w:ascii="Times New Roman" w:hAnsi="Times New Roman"/>
          <w:bCs/>
          <w:sz w:val="24"/>
          <w:szCs w:val="24"/>
        </w:rPr>
        <w:t xml:space="preserve">A Member or Client that is granted a hedging quota in a contract may establish hedging positions either directly by placing trading orders or by </w:t>
      </w:r>
      <w:r>
        <w:rPr>
          <w:rFonts w:ascii="Times New Roman" w:hAnsi="Times New Roman" w:hint="eastAsia"/>
          <w:bCs/>
          <w:sz w:val="24"/>
          <w:szCs w:val="24"/>
        </w:rPr>
        <w:t xml:space="preserve">confirming </w:t>
      </w:r>
      <w:r>
        <w:rPr>
          <w:rFonts w:ascii="Times New Roman" w:hAnsi="Times New Roman"/>
          <w:bCs/>
          <w:sz w:val="24"/>
          <w:szCs w:val="24"/>
        </w:rPr>
        <w:t>positions in accordance with applicable rules, in each case before the market closes on the third trading day prior to the last trading day of the contract involved in the hedge; failing which, the hedging quota will be deemed forfeited.</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19</w:t>
      </w:r>
      <w:r>
        <w:rPr>
          <w:rFonts w:ascii="Times New Roman" w:hAnsi="Times New Roman"/>
          <w:color w:val="000000"/>
          <w:sz w:val="22"/>
        </w:rPr>
        <w:tab/>
        <w:t xml:space="preserve">Hedging quota of a copper, aluminum, zinc, lead, nickel, tin, </w:t>
      </w:r>
      <w:r>
        <w:rPr>
          <w:rFonts w:ascii="Times New Roman" w:hAnsi="Times New Roman"/>
          <w:sz w:val="22"/>
        </w:rPr>
        <w:t xml:space="preserve">aluminum oxide, </w:t>
      </w:r>
      <w:r>
        <w:rPr>
          <w:rFonts w:ascii="Times New Roman" w:hAnsi="Times New Roman"/>
          <w:color w:val="000000"/>
          <w:sz w:val="22"/>
        </w:rPr>
        <w:t>steel rebar, wire rod, hot-rolled coil, stainless steel, gold, silver, natural rubber, bitumen, butadiene rubber and BSKP futures contract shall no longer be used in a revolving manner starting from the first trading day of the delivery month.</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20</w:t>
      </w:r>
      <w:r>
        <w:rPr>
          <w:rFonts w:ascii="Times New Roman" w:hAnsi="Times New Roman"/>
          <w:color w:val="000000"/>
          <w:sz w:val="22"/>
        </w:rPr>
        <w:tab/>
        <w:t>Hedging quota of a fuel oil futures contract shall no longer be used in a revolving manner starting from the first trading day of the first month before the delivery month.</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21</w:t>
      </w:r>
      <w:r>
        <w:rPr>
          <w:rFonts w:ascii="Times New Roman" w:hAnsi="Times New Roman"/>
          <w:color w:val="000000"/>
          <w:sz w:val="22"/>
        </w:rPr>
        <w:tab/>
        <w:t>In the nearby delivery months, the hedging positions in a relevant product shall be adjusted to multiples of a certain number of lots by reference to the provisions on adjusting speculative positions.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lastRenderedPageBreak/>
        <w:t>Article 22</w:t>
      </w:r>
      <w:r>
        <w:rPr>
          <w:rFonts w:ascii="Times New Roman" w:hAnsi="Times New Roman"/>
          <w:color w:val="000000"/>
          <w:sz w:val="22"/>
        </w:rPr>
        <w:tab/>
        <w:t>A Member or Client that receives a nearby delivery month hedging quota and takes a short hedging position in the contract concerned may collateralize its standard warrants as trading margin for a corresponding size of the short position when the contract enters the delivery month.</w:t>
      </w:r>
    </w:p>
    <w:p w:rsidR="00A84B5F" w:rsidRDefault="00A84B5F" w:rsidP="000648A7">
      <w:pPr>
        <w:tabs>
          <w:tab w:val="left" w:pos="1204"/>
        </w:tabs>
        <w:adjustRightInd w:val="0"/>
        <w:snapToGrid w:val="0"/>
        <w:spacing w:afterLines="100" w:line="276" w:lineRule="auto"/>
        <w:jc w:val="left"/>
        <w:rPr>
          <w:rFonts w:ascii="Times New Roman" w:eastAsia="方正仿宋简体" w:hAnsi="Times New Roman"/>
          <w:color w:val="000000"/>
          <w:sz w:val="22"/>
        </w:rPr>
      </w:pPr>
      <w:r>
        <w:rPr>
          <w:rFonts w:ascii="Times New Roman" w:hAnsi="Times New Roman"/>
          <w:b/>
          <w:bCs/>
          <w:color w:val="000000"/>
          <w:sz w:val="22"/>
        </w:rPr>
        <w:t>Article 23</w:t>
      </w:r>
      <w:r>
        <w:rPr>
          <w:rFonts w:ascii="Times New Roman" w:hAnsi="Times New Roman"/>
          <w:color w:val="000000"/>
          <w:sz w:val="22"/>
        </w:rPr>
        <w:tab/>
        <w:t>Hedging positions in an option will be converted to hedging positions in the underlying futures upon exercise of the option.</w:t>
      </w:r>
    </w:p>
    <w:p w:rsidR="00A84B5F" w:rsidRDefault="00A84B5F" w:rsidP="000648A7">
      <w:pPr>
        <w:widowControl/>
        <w:tabs>
          <w:tab w:val="left" w:pos="1560"/>
        </w:tabs>
        <w:adjustRightInd w:val="0"/>
        <w:snapToGrid w:val="0"/>
        <w:spacing w:beforeLines="150" w:afterLines="100" w:line="276" w:lineRule="auto"/>
        <w:jc w:val="center"/>
        <w:rPr>
          <w:rFonts w:ascii="Times New Roman" w:hAnsi="Times New Roman"/>
          <w:b/>
          <w:sz w:val="22"/>
        </w:rPr>
      </w:pPr>
      <w:r>
        <w:rPr>
          <w:rFonts w:ascii="Times New Roman" w:hAnsi="Times New Roman"/>
          <w:b/>
          <w:sz w:val="22"/>
        </w:rPr>
        <w:t>CHAPTER 5</w:t>
      </w:r>
      <w:r>
        <w:rPr>
          <w:rFonts w:ascii="Times New Roman" w:hAnsi="Times New Roman"/>
          <w:b/>
          <w:sz w:val="22"/>
        </w:rPr>
        <w:tab/>
        <w:t>REGULATION OF HEDGING</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24</w:t>
      </w:r>
      <w:r>
        <w:rPr>
          <w:rFonts w:ascii="Times New Roman" w:hAnsi="Times New Roman"/>
          <w:color w:val="000000"/>
          <w:sz w:val="22"/>
        </w:rPr>
        <w:tab/>
        <w:t xml:space="preserve">The Exchange will review an application for hedging quota within five (5) trading days of receiving the application and will: </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w:t>
      </w:r>
      <w:r>
        <w:rPr>
          <w:rFonts w:ascii="Times New Roman" w:hAnsi="Times New Roman"/>
          <w:color w:val="000000"/>
          <w:sz w:val="22"/>
        </w:rPr>
        <w:tab/>
        <w:t xml:space="preserve">notify the applicant of approval if the requirements for granting hedging quota are satisfied; </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(ii)</w:t>
      </w:r>
      <w:r>
        <w:rPr>
          <w:rFonts w:ascii="Times New Roman" w:hAnsi="Times New Roman"/>
          <w:color w:val="000000"/>
          <w:sz w:val="22"/>
        </w:rPr>
        <w:tab/>
        <w:t xml:space="preserve">notify the applicant of denial if the requirements for granting hedging quota are not satisfied; or </w:t>
      </w:r>
    </w:p>
    <w:p w:rsidR="00A84B5F" w:rsidRDefault="00A84B5F" w:rsidP="000648A7">
      <w:pPr>
        <w:widowControl/>
        <w:tabs>
          <w:tab w:val="left" w:pos="567"/>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(iii)</w:t>
      </w:r>
      <w:r>
        <w:rPr>
          <w:rFonts w:ascii="Times New Roman" w:hAnsi="Times New Roman"/>
          <w:color w:val="000000"/>
          <w:sz w:val="22"/>
        </w:rPr>
        <w:tab/>
        <w:t xml:space="preserve">request the applicant to provide any additional materials that should be provided. </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25</w:t>
      </w:r>
      <w:r>
        <w:rPr>
          <w:rFonts w:ascii="Times New Roman" w:hAnsi="Times New Roman"/>
          <w:color w:val="000000"/>
          <w:sz w:val="22"/>
        </w:rPr>
        <w:tab/>
        <w:t xml:space="preserve">The Exchange has the right to, from time to time, supervise and investigate the information that a Member or Client provides on its business operation, credit standing, and trading activities in futures, options, and physicals. The Member and the Client concerned shall give assistance and cooperation. </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color w:val="000000"/>
          <w:sz w:val="22"/>
        </w:rPr>
        <w:t>The Exchange may require a Member or Client that receives a hedging quota to report on its trading activities in physicals, futures, and options.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26</w:t>
      </w:r>
      <w:r>
        <w:rPr>
          <w:rFonts w:ascii="Times New Roman" w:hAnsi="Times New Roman"/>
          <w:color w:val="000000"/>
          <w:sz w:val="22"/>
        </w:rPr>
        <w:tab/>
        <w:t>The Exchange regulates the usage of the hedging quotas granted to Members or Clients.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27</w:t>
      </w:r>
      <w:r>
        <w:rPr>
          <w:rFonts w:ascii="Times New Roman" w:hAnsi="Times New Roman"/>
          <w:color w:val="000000"/>
          <w:sz w:val="22"/>
        </w:rPr>
        <w:tab/>
        <w:t>A Member or Client, during the validity period of its hedging quota, shall timely notify the Exchange of any material change to its business. The Exchange may adjust the hedging quota based on market conditions and business operation of the Member or Client.</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28</w:t>
      </w:r>
      <w:r>
        <w:rPr>
          <w:rFonts w:ascii="Times New Roman" w:hAnsi="Times New Roman"/>
          <w:color w:val="000000"/>
          <w:sz w:val="22"/>
        </w:rPr>
        <w:tab/>
        <w:t>A Member or Client that needs to adjust its hedging quota shall timely apply to the Exchange.</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29</w:t>
      </w:r>
      <w:r>
        <w:rPr>
          <w:rFonts w:ascii="Times New Roman" w:hAnsi="Times New Roman"/>
          <w:color w:val="000000"/>
          <w:sz w:val="22"/>
        </w:rPr>
        <w:tab/>
        <w:t>A Member or Client whose hedging position exceeds the approved hedging quota or an otherwise established limit shall adjust its position by the end of the first trading session on the following trading day. If the adjustment is not made before the deadline or fails to eliminate the excess, the Exchange may exercise forced position liquidation.</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30</w:t>
      </w:r>
      <w:r>
        <w:rPr>
          <w:rFonts w:ascii="Times New Roman" w:hAnsi="Times New Roman"/>
          <w:color w:val="000000"/>
          <w:sz w:val="22"/>
        </w:rPr>
        <w:tab/>
        <w:t xml:space="preserve">If a Member or Client frequently opens and closes out its positions within its approved hedging quota to influence or attempt to influence market price, the Exchange may </w:t>
      </w:r>
      <w:r>
        <w:rPr>
          <w:rFonts w:ascii="Times New Roman" w:hAnsi="Times New Roman"/>
          <w:color w:val="000000"/>
          <w:sz w:val="22"/>
        </w:rPr>
        <w:lastRenderedPageBreak/>
        <w:t>take such measures as giving a verbal reminder or written warning, adjusting or canceling the hedging quota, suspending the opening of new positions, requiring the close-out of positions within a specified time period, or exercising forced position liquidation.</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31</w:t>
      </w:r>
      <w:r>
        <w:rPr>
          <w:rFonts w:ascii="Times New Roman" w:hAnsi="Times New Roman"/>
          <w:color w:val="000000"/>
          <w:sz w:val="22"/>
        </w:rPr>
        <w:tab/>
        <w:t>When the Exchange exercises position reduction to mitigate risks arising in the market, speculative positions will be reduced before hedging positions.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32</w:t>
      </w:r>
      <w:r>
        <w:rPr>
          <w:rFonts w:ascii="Times New Roman" w:hAnsi="Times New Roman"/>
          <w:color w:val="000000"/>
          <w:sz w:val="22"/>
        </w:rPr>
        <w:tab/>
        <w:t>Based on the conditions of the futures, options, and physicals market as well as open interests in the market, the Exchange may, from time to time, request a Member or Client to provide additional materials on its approved hedging quota.</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33</w:t>
      </w:r>
      <w:r>
        <w:rPr>
          <w:rFonts w:ascii="Times New Roman" w:hAnsi="Times New Roman"/>
          <w:color w:val="000000"/>
          <w:sz w:val="22"/>
        </w:rPr>
        <w:tab/>
        <w:t xml:space="preserve">If a Member or Client engages in fraud or otherwise breaches any rules of the Exchange when applying for or using a hedging quota, the Exchange may deny its application, adjust or cancel its hedging quota, deal with its hedging positions as speculative positions or exercise forced position liquidation, and handle the case according to the </w:t>
      </w:r>
      <w:r>
        <w:rPr>
          <w:rFonts w:ascii="Times New Roman" w:hAnsi="Times New Roman"/>
          <w:i/>
          <w:iCs/>
          <w:color w:val="000000"/>
          <w:sz w:val="22"/>
        </w:rPr>
        <w:t>Enforcement Rules of the Shanghai Futures Exchange</w:t>
      </w:r>
      <w:r>
        <w:rPr>
          <w:rFonts w:ascii="Times New Roman" w:hAnsi="Times New Roman"/>
          <w:color w:val="000000"/>
          <w:sz w:val="22"/>
        </w:rPr>
        <w:t>.</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34</w:t>
      </w:r>
      <w:r>
        <w:rPr>
          <w:rFonts w:ascii="Times New Roman" w:hAnsi="Times New Roman"/>
          <w:color w:val="000000"/>
          <w:sz w:val="22"/>
        </w:rPr>
        <w:tab/>
        <w:t>The Exchange may offer discounts on the trading margin or transaction fees of hedge trading.</w:t>
      </w:r>
    </w:p>
    <w:p w:rsidR="00A84B5F" w:rsidRDefault="00A84B5F" w:rsidP="000648A7">
      <w:pPr>
        <w:widowControl/>
        <w:tabs>
          <w:tab w:val="left" w:pos="1560"/>
        </w:tabs>
        <w:adjustRightInd w:val="0"/>
        <w:snapToGrid w:val="0"/>
        <w:spacing w:beforeLines="150" w:afterLines="100" w:line="276" w:lineRule="auto"/>
        <w:jc w:val="center"/>
        <w:rPr>
          <w:rFonts w:ascii="Times New Roman" w:hAnsi="Times New Roman"/>
          <w:b/>
          <w:sz w:val="22"/>
        </w:rPr>
      </w:pPr>
      <w:r>
        <w:rPr>
          <w:rFonts w:ascii="Times New Roman" w:hAnsi="Times New Roman"/>
          <w:b/>
          <w:sz w:val="22"/>
        </w:rPr>
        <w:t>CHAPTER 6</w:t>
      </w:r>
      <w:r>
        <w:rPr>
          <w:rFonts w:ascii="Times New Roman" w:hAnsi="Times New Roman"/>
          <w:b/>
          <w:sz w:val="22"/>
        </w:rPr>
        <w:tab/>
        <w:t>MISCELLANEOUS</w:t>
      </w:r>
    </w:p>
    <w:p w:rsidR="00A84B5F" w:rsidRDefault="00A84B5F" w:rsidP="000648A7">
      <w:pPr>
        <w:tabs>
          <w:tab w:val="left" w:pos="1204"/>
        </w:tabs>
        <w:adjustRightInd w:val="0"/>
        <w:snapToGrid w:val="0"/>
        <w:spacing w:afterLines="100" w:line="276" w:lineRule="auto"/>
        <w:jc w:val="left"/>
        <w:rPr>
          <w:rFonts w:ascii="Times New Roman" w:hAnsi="Times New Roman"/>
          <w:color w:val="000000"/>
          <w:sz w:val="22"/>
        </w:rPr>
      </w:pPr>
      <w:r>
        <w:rPr>
          <w:rFonts w:ascii="Times New Roman" w:hAnsi="Times New Roman"/>
          <w:b/>
          <w:bCs/>
          <w:color w:val="000000"/>
          <w:sz w:val="22"/>
        </w:rPr>
        <w:t>Article 35</w:t>
      </w:r>
      <w:r>
        <w:rPr>
          <w:rFonts w:ascii="Times New Roman" w:hAnsi="Times New Roman"/>
          <w:color w:val="000000"/>
          <w:sz w:val="22"/>
        </w:rPr>
        <w:tab/>
        <w:t xml:space="preserve">The Exchange reserves the right to interpret these </w:t>
      </w:r>
      <w:r>
        <w:rPr>
          <w:rFonts w:ascii="Times New Roman" w:hAnsi="Times New Roman"/>
          <w:i/>
          <w:iCs/>
          <w:color w:val="000000"/>
          <w:sz w:val="22"/>
        </w:rPr>
        <w:t>Hedge Trading Rules</w:t>
      </w:r>
      <w:r>
        <w:rPr>
          <w:rFonts w:ascii="Times New Roman" w:hAnsi="Times New Roman"/>
          <w:color w:val="000000"/>
          <w:sz w:val="22"/>
        </w:rPr>
        <w:t>.</w:t>
      </w:r>
    </w:p>
    <w:p w:rsidR="00A84B5F" w:rsidRDefault="00A84B5F" w:rsidP="000648A7">
      <w:pPr>
        <w:tabs>
          <w:tab w:val="left" w:pos="1204"/>
        </w:tabs>
        <w:adjustRightInd w:val="0"/>
        <w:snapToGrid w:val="0"/>
        <w:spacing w:afterLines="100" w:line="276" w:lineRule="auto"/>
        <w:jc w:val="left"/>
        <w:rPr>
          <w:rFonts w:ascii="Times New Roman" w:hAnsi="Times New Roman"/>
          <w:sz w:val="22"/>
        </w:rPr>
      </w:pPr>
      <w:r>
        <w:rPr>
          <w:rFonts w:ascii="Times New Roman" w:hAnsi="Times New Roman"/>
          <w:b/>
          <w:bCs/>
          <w:color w:val="000000"/>
          <w:sz w:val="22"/>
        </w:rPr>
        <w:t>Article 36</w:t>
      </w:r>
      <w:r>
        <w:rPr>
          <w:rFonts w:ascii="Times New Roman" w:hAnsi="Times New Roman"/>
          <w:color w:val="000000"/>
          <w:sz w:val="22"/>
        </w:rPr>
        <w:tab/>
        <w:t xml:space="preserve">These </w:t>
      </w:r>
      <w:r>
        <w:rPr>
          <w:rFonts w:ascii="Times New Roman" w:hAnsi="Times New Roman"/>
          <w:i/>
          <w:iCs/>
          <w:color w:val="000000"/>
          <w:sz w:val="22"/>
        </w:rPr>
        <w:t>Hedge Trading Rules</w:t>
      </w:r>
      <w:r>
        <w:rPr>
          <w:rFonts w:ascii="Times New Roman" w:hAnsi="Times New Roman"/>
          <w:color w:val="000000"/>
          <w:sz w:val="22"/>
        </w:rPr>
        <w:t xml:space="preserve"> shall take effect on</w:t>
      </w:r>
      <w:r>
        <w:rPr>
          <w:rFonts w:ascii="Times New Roman" w:hAnsi="Times New Roman"/>
          <w:color w:val="FF0000"/>
          <w:sz w:val="22"/>
        </w:rPr>
        <w:t xml:space="preserve"> </w:t>
      </w:r>
      <w:r w:rsidR="001020CA">
        <w:rPr>
          <w:rFonts w:ascii="Times New Roman" w:hAnsi="Times New Roman" w:cs="Arial"/>
          <w:kern w:val="0"/>
          <w:sz w:val="22"/>
        </w:rPr>
        <w:t>November 21</w:t>
      </w:r>
      <w:r>
        <w:rPr>
          <w:rFonts w:ascii="Times New Roman" w:hAnsi="Times New Roman"/>
          <w:color w:val="000000"/>
          <w:sz w:val="22"/>
        </w:rPr>
        <w:t xml:space="preserve">, </w:t>
      </w:r>
      <w:r>
        <w:rPr>
          <w:rFonts w:ascii="Times New Roman" w:hAnsi="Times New Roman"/>
          <w:sz w:val="22"/>
        </w:rPr>
        <w:t>2023</w:t>
      </w:r>
      <w:r>
        <w:rPr>
          <w:rFonts w:ascii="Times New Roman" w:hAnsi="Times New Roman"/>
          <w:color w:val="000000"/>
          <w:sz w:val="22"/>
        </w:rPr>
        <w:t>.</w:t>
      </w:r>
    </w:p>
    <w:p w:rsidR="003263BC" w:rsidRPr="00A84B5F" w:rsidRDefault="005B03DD"/>
    <w:sectPr w:rsidR="003263BC" w:rsidRPr="00A84B5F" w:rsidSect="002D72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3DD" w:rsidRDefault="005B03DD" w:rsidP="00A84B5F">
      <w:r>
        <w:separator/>
      </w:r>
    </w:p>
  </w:endnote>
  <w:endnote w:type="continuationSeparator" w:id="0">
    <w:p w:rsidR="005B03DD" w:rsidRDefault="005B03DD" w:rsidP="00A84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3DD" w:rsidRDefault="005B03DD" w:rsidP="00A84B5F">
      <w:r>
        <w:separator/>
      </w:r>
    </w:p>
  </w:footnote>
  <w:footnote w:type="continuationSeparator" w:id="0">
    <w:p w:rsidR="005B03DD" w:rsidRDefault="005B03DD" w:rsidP="00A84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470"/>
    <w:rsid w:val="000648A7"/>
    <w:rsid w:val="001020CA"/>
    <w:rsid w:val="002D721B"/>
    <w:rsid w:val="003807D4"/>
    <w:rsid w:val="005B03DD"/>
    <w:rsid w:val="00A41725"/>
    <w:rsid w:val="00A84B5F"/>
    <w:rsid w:val="00E143FB"/>
    <w:rsid w:val="00E76840"/>
    <w:rsid w:val="00EF5470"/>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B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4B5F"/>
    <w:rPr>
      <w:sz w:val="18"/>
      <w:szCs w:val="18"/>
    </w:rPr>
  </w:style>
  <w:style w:type="paragraph" w:styleId="a4">
    <w:name w:val="footer"/>
    <w:basedOn w:val="a"/>
    <w:link w:val="Char0"/>
    <w:uiPriority w:val="99"/>
    <w:unhideWhenUsed/>
    <w:rsid w:val="00A84B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4B5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11921</Characters>
  <Application>Microsoft Office Word</Application>
  <DocSecurity>0</DocSecurity>
  <Lines>99</Lines>
  <Paragraphs>27</Paragraphs>
  <ScaleCrop>false</ScaleCrop>
  <Company>SHFE</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dcterms:created xsi:type="dcterms:W3CDTF">2023-11-17T09:18:00Z</dcterms:created>
  <dcterms:modified xsi:type="dcterms:W3CDTF">2023-11-17T09:18:00Z</dcterms:modified>
</cp:coreProperties>
</file>