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8CC" w:rsidRPr="002040DD" w:rsidRDefault="00E768CC" w:rsidP="00E768CC">
      <w:pPr>
        <w:spacing w:line="360" w:lineRule="auto"/>
        <w:rPr>
          <w:rFonts w:ascii="Times New Roman" w:hAnsi="Times New Roman" w:cs="Arial"/>
          <w:kern w:val="0"/>
          <w:sz w:val="22"/>
        </w:rPr>
      </w:pPr>
      <w:r>
        <w:rPr>
          <w:rFonts w:ascii="Times New Roman" w:hAnsi="Times New Roman" w:hint="eastAsia"/>
          <w:b/>
          <w:bCs/>
          <w:sz w:val="22"/>
        </w:rPr>
        <w:t xml:space="preserve">Appendix </w:t>
      </w:r>
      <w:r>
        <w:rPr>
          <w:rFonts w:ascii="Times New Roman" w:hAnsi="Times New Roman"/>
          <w:b/>
          <w:bCs/>
          <w:sz w:val="22"/>
        </w:rPr>
        <w:t>1</w:t>
      </w:r>
    </w:p>
    <w:p w:rsidR="00E768CC" w:rsidRPr="0045107C" w:rsidRDefault="0045107C" w:rsidP="00495D4E">
      <w:pPr>
        <w:keepNext/>
        <w:keepLines/>
        <w:snapToGrid w:val="0"/>
        <w:spacing w:afterLines="100" w:line="276" w:lineRule="auto"/>
        <w:jc w:val="center"/>
        <w:rPr>
          <w:rFonts w:ascii="Times New Roman" w:eastAsia="方正大标宋简体" w:hAnsi="Times New Roman"/>
          <w:b/>
          <w:kern w:val="44"/>
          <w:sz w:val="30"/>
          <w:szCs w:val="30"/>
        </w:rPr>
      </w:pPr>
      <w:r w:rsidRPr="0045107C">
        <w:rPr>
          <w:rFonts w:ascii="Times New Roman" w:eastAsia="方正大标宋简体" w:hAnsi="Times New Roman"/>
          <w:b/>
          <w:kern w:val="44"/>
          <w:sz w:val="30"/>
          <w:szCs w:val="30"/>
        </w:rPr>
        <w:t>Comparative Table</w:t>
      </w:r>
    </w:p>
    <w:p w:rsidR="00E768CC" w:rsidRPr="000E3074" w:rsidRDefault="00E768CC" w:rsidP="00495D4E">
      <w:pPr>
        <w:keepNext/>
        <w:keepLines/>
        <w:snapToGrid w:val="0"/>
        <w:spacing w:afterLines="100" w:line="276" w:lineRule="auto"/>
        <w:jc w:val="center"/>
        <w:rPr>
          <w:rFonts w:ascii="Times New Roman" w:eastAsia="方正大标宋简体" w:hAnsi="Times New Roman"/>
          <w:kern w:val="44"/>
          <w:sz w:val="30"/>
          <w:szCs w:val="30"/>
        </w:rPr>
      </w:pPr>
      <w:r w:rsidRPr="000E3074">
        <w:rPr>
          <w:rFonts w:ascii="Times New Roman" w:eastAsia="方正大标宋简体" w:hAnsi="Times New Roman"/>
          <w:kern w:val="44"/>
          <w:sz w:val="30"/>
          <w:szCs w:val="30"/>
        </w:rPr>
        <w:t xml:space="preserve">Changes to the </w:t>
      </w:r>
      <w:r w:rsidRPr="000E3074">
        <w:rPr>
          <w:rFonts w:ascii="Times New Roman" w:eastAsia="方正大标宋简体" w:hAnsi="Times New Roman"/>
          <w:i/>
          <w:iCs/>
          <w:kern w:val="44"/>
          <w:sz w:val="30"/>
          <w:szCs w:val="30"/>
        </w:rPr>
        <w:t>Trading Rules of the Shanghai International Energy Exchange</w:t>
      </w:r>
    </w:p>
    <w:p w:rsidR="00E768CC" w:rsidRDefault="00E768CC" w:rsidP="00E768CC">
      <w:pPr>
        <w:snapToGrid w:val="0"/>
        <w:spacing w:line="276" w:lineRule="auto"/>
        <w:jc w:val="left"/>
        <w:rPr>
          <w:rFonts w:ascii="Times New Roman" w:eastAsia="方正仿宋简体" w:hAnsi="Times New Roman"/>
          <w:sz w:val="22"/>
        </w:rPr>
      </w:pPr>
      <w:r>
        <w:rPr>
          <w:rFonts w:ascii="Times New Roman" w:eastAsia="方正仿宋简体" w:hAnsi="Times New Roman"/>
          <w:sz w:val="22"/>
        </w:rPr>
        <w:t>Note: Double strikethroughs indicate deletion and red and bold indicate new addition</w:t>
      </w:r>
    </w:p>
    <w:tbl>
      <w:tblPr>
        <w:tblpPr w:leftFromText="180" w:rightFromText="180" w:vertAnchor="text" w:tblpXSpec="center" w:tblpY="1"/>
        <w:tblOverlap w:val="neve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00"/>
      </w:tblPr>
      <w:tblGrid>
        <w:gridCol w:w="4414"/>
        <w:gridCol w:w="4108"/>
      </w:tblGrid>
      <w:tr w:rsidR="00E768CC" w:rsidTr="00E768CC">
        <w:trPr>
          <w:trHeight w:val="135"/>
        </w:trPr>
        <w:tc>
          <w:tcPr>
            <w:tcW w:w="0" w:type="auto"/>
            <w:shd w:val="clear" w:color="auto" w:fill="4BACC6"/>
            <w:vAlign w:val="center"/>
          </w:tcPr>
          <w:p w:rsidR="00E768CC" w:rsidRDefault="00E768CC" w:rsidP="00495D4E">
            <w:pPr>
              <w:snapToGrid w:val="0"/>
              <w:spacing w:beforeLines="50" w:afterLines="50" w:line="276" w:lineRule="auto"/>
              <w:jc w:val="center"/>
              <w:rPr>
                <w:rFonts w:ascii="Times New Roman" w:eastAsia="方正仿宋简体" w:hAnsi="Times New Roman"/>
                <w:bCs/>
                <w:sz w:val="22"/>
                <w:shd w:val="clear" w:color="auto" w:fill="FF0000"/>
              </w:rPr>
            </w:pPr>
            <w:r>
              <w:rPr>
                <w:rFonts w:ascii="Times New Roman" w:hAnsi="Times New Roman"/>
                <w:b/>
                <w:bCs/>
                <w:color w:val="FFFFFF"/>
                <w:sz w:val="22"/>
              </w:rPr>
              <w:t>Revised Version</w:t>
            </w:r>
          </w:p>
        </w:tc>
        <w:tc>
          <w:tcPr>
            <w:tcW w:w="0" w:type="auto"/>
            <w:shd w:val="clear" w:color="auto" w:fill="4BACC6"/>
            <w:vAlign w:val="center"/>
          </w:tcPr>
          <w:p w:rsidR="00E768CC" w:rsidRDefault="00E768CC" w:rsidP="00495D4E">
            <w:pPr>
              <w:tabs>
                <w:tab w:val="left" w:pos="210"/>
                <w:tab w:val="center" w:pos="2869"/>
              </w:tabs>
              <w:snapToGrid w:val="0"/>
              <w:spacing w:beforeLines="50" w:afterLines="50" w:line="276" w:lineRule="auto"/>
              <w:jc w:val="center"/>
              <w:rPr>
                <w:rFonts w:ascii="Times New Roman" w:eastAsia="方正仿宋简体" w:hAnsi="Times New Roman"/>
                <w:b/>
                <w:bCs/>
                <w:color w:val="FFFFFF"/>
                <w:sz w:val="22"/>
              </w:rPr>
            </w:pPr>
            <w:r>
              <w:rPr>
                <w:rFonts w:ascii="Times New Roman" w:hAnsi="Times New Roman"/>
                <w:b/>
                <w:bCs/>
                <w:color w:val="FFFFFF"/>
                <w:sz w:val="22"/>
              </w:rPr>
              <w:t>Current Version (effective from August 18, 2023)</w:t>
            </w:r>
          </w:p>
        </w:tc>
      </w:tr>
      <w:tr w:rsidR="00E768CC" w:rsidTr="00E768CC">
        <w:trPr>
          <w:trHeight w:val="2475"/>
        </w:trPr>
        <w:tc>
          <w:tcPr>
            <w:tcW w:w="0" w:type="auto"/>
            <w:tcBorders>
              <w:top w:val="single" w:sz="8" w:space="0" w:color="4BACC6"/>
              <w:left w:val="single" w:sz="8" w:space="0" w:color="4BACC6"/>
              <w:bottom w:val="single" w:sz="8" w:space="0" w:color="4BACC6"/>
            </w:tcBorders>
          </w:tcPr>
          <w:p w:rsidR="00E768CC" w:rsidRPr="00F54EAB" w:rsidRDefault="00E768CC" w:rsidP="00495D4E">
            <w:pPr>
              <w:adjustRightInd w:val="0"/>
              <w:snapToGrid w:val="0"/>
              <w:spacing w:afterLines="100" w:line="276" w:lineRule="auto"/>
              <w:rPr>
                <w:rFonts w:ascii="Times New Roman" w:hAnsi="Times New Roman"/>
                <w:b/>
                <w:bCs/>
                <w:color w:val="FF0000"/>
                <w:sz w:val="22"/>
              </w:rPr>
            </w:pPr>
            <w:r w:rsidRPr="00F54EAB">
              <w:rPr>
                <w:rFonts w:ascii="Times New Roman" w:hAnsi="Times New Roman"/>
                <w:b/>
                <w:bCs/>
                <w:sz w:val="22"/>
              </w:rPr>
              <w:t xml:space="preserve">Article 45 </w:t>
            </w:r>
            <w:r w:rsidRPr="00F54EAB">
              <w:rPr>
                <w:rFonts w:ascii="Times New Roman" w:hAnsi="Times New Roman"/>
                <w:bCs/>
                <w:sz w:val="22"/>
              </w:rPr>
              <w:t xml:space="preserve">After obtaining the hedging quota, a Non-FF Member, an OSNBP or a Client </w:t>
            </w:r>
            <w:r w:rsidRPr="00F54EAB">
              <w:rPr>
                <w:rFonts w:ascii="Times New Roman" w:hAnsi="Times New Roman"/>
                <w:bCs/>
                <w:dstrike/>
                <w:sz w:val="22"/>
              </w:rPr>
              <w:t xml:space="preserve">may open positions before the market closes on the third trading day prior to the last trading day of the contract related to </w:t>
            </w:r>
            <w:proofErr w:type="spellStart"/>
            <w:r w:rsidRPr="00F54EAB">
              <w:rPr>
                <w:rFonts w:ascii="Times New Roman" w:hAnsi="Times New Roman"/>
                <w:bCs/>
                <w:dstrike/>
                <w:sz w:val="22"/>
              </w:rPr>
              <w:t>hedging.</w:t>
            </w:r>
            <w:r w:rsidR="00843EDC">
              <w:rPr>
                <w:rFonts w:ascii="Times New Roman" w:hAnsi="Times New Roman"/>
                <w:b/>
                <w:bCs/>
                <w:color w:val="FF0000"/>
                <w:sz w:val="22"/>
              </w:rPr>
              <w:t>m</w:t>
            </w:r>
            <w:bookmarkStart w:id="0" w:name="_GoBack"/>
            <w:bookmarkEnd w:id="0"/>
            <w:r w:rsidR="00936DBC" w:rsidRPr="00F54EAB">
              <w:rPr>
                <w:rFonts w:ascii="Times New Roman" w:hAnsi="Times New Roman"/>
                <w:b/>
                <w:bCs/>
                <w:color w:val="FF0000"/>
                <w:sz w:val="22"/>
              </w:rPr>
              <w:t>ay</w:t>
            </w:r>
            <w:proofErr w:type="spellEnd"/>
            <w:r w:rsidR="00936DBC" w:rsidRPr="00F54EAB">
              <w:rPr>
                <w:rFonts w:ascii="Times New Roman" w:hAnsi="Times New Roman"/>
                <w:b/>
                <w:bCs/>
                <w:color w:val="FF0000"/>
                <w:sz w:val="22"/>
              </w:rPr>
              <w:t xml:space="preserve"> </w:t>
            </w:r>
            <w:r w:rsidRPr="00F54EAB">
              <w:rPr>
                <w:rFonts w:ascii="Times New Roman" w:hAnsi="Times New Roman"/>
                <w:b/>
                <w:bCs/>
                <w:color w:val="FF0000"/>
                <w:sz w:val="22"/>
              </w:rPr>
              <w:t>establish hedging posit</w:t>
            </w:r>
            <w:r w:rsidR="00936DBC" w:rsidRPr="00F54EAB">
              <w:rPr>
                <w:rFonts w:ascii="Times New Roman" w:hAnsi="Times New Roman"/>
                <w:b/>
                <w:bCs/>
                <w:color w:val="FF0000"/>
                <w:sz w:val="22"/>
              </w:rPr>
              <w:t xml:space="preserve">ions either directly by placing trading orders </w:t>
            </w:r>
            <w:proofErr w:type="spellStart"/>
            <w:r w:rsidRPr="00F54EAB">
              <w:rPr>
                <w:rFonts w:ascii="Times New Roman" w:hAnsi="Times New Roman"/>
                <w:b/>
                <w:bCs/>
                <w:color w:val="FF0000"/>
                <w:sz w:val="22"/>
              </w:rPr>
              <w:t>orby</w:t>
            </w:r>
            <w:proofErr w:type="spellEnd"/>
            <w:r w:rsidRPr="00F54EAB">
              <w:rPr>
                <w:rFonts w:ascii="Times New Roman" w:hAnsi="Times New Roman"/>
                <w:b/>
                <w:bCs/>
                <w:color w:val="FF0000"/>
                <w:sz w:val="22"/>
              </w:rPr>
              <w:t xml:space="preserve"> </w:t>
            </w:r>
            <w:r w:rsidRPr="00F54EAB">
              <w:rPr>
                <w:rFonts w:ascii="Times New Roman" w:hAnsi="Times New Roman" w:hint="eastAsia"/>
                <w:b/>
                <w:bCs/>
                <w:color w:val="FF0000"/>
                <w:sz w:val="22"/>
              </w:rPr>
              <w:t>confirming</w:t>
            </w:r>
            <w:r w:rsidRPr="00F54EAB">
              <w:rPr>
                <w:rFonts w:ascii="Times New Roman" w:hAnsi="Times New Roman"/>
                <w:b/>
                <w:bCs/>
                <w:color w:val="FF0000"/>
                <w:sz w:val="22"/>
              </w:rPr>
              <w:t xml:space="preserve"> positions </w:t>
            </w:r>
            <w:proofErr w:type="spellStart"/>
            <w:r w:rsidRPr="00F54EAB">
              <w:rPr>
                <w:rFonts w:ascii="Times New Roman" w:hAnsi="Times New Roman"/>
                <w:b/>
                <w:bCs/>
                <w:color w:val="FF0000"/>
                <w:sz w:val="22"/>
              </w:rPr>
              <w:t>inaccordance</w:t>
            </w:r>
            <w:proofErr w:type="spellEnd"/>
            <w:r w:rsidRPr="00F54EAB">
              <w:rPr>
                <w:rFonts w:ascii="Times New Roman" w:hAnsi="Times New Roman"/>
                <w:b/>
                <w:bCs/>
                <w:color w:val="FF0000"/>
                <w:sz w:val="22"/>
              </w:rPr>
              <w:t xml:space="preserve"> with applicable rules, in each case before the market closes on the third trading day prior to the last trading day of the contract involved in the hedge.</w:t>
            </w:r>
            <w:r w:rsidRPr="00F54EAB">
              <w:rPr>
                <w:rFonts w:ascii="Times New Roman" w:hAnsi="Times New Roman"/>
                <w:bCs/>
                <w:sz w:val="22"/>
              </w:rPr>
              <w:t xml:space="preserve"> If the positions are not opened by the prescribed deadline, it is deemed a waiver of the hedging quota.</w:t>
            </w:r>
          </w:p>
          <w:p w:rsidR="00E768CC" w:rsidRPr="00F54EAB" w:rsidRDefault="00E768CC" w:rsidP="00495D4E">
            <w:pPr>
              <w:tabs>
                <w:tab w:val="left" w:pos="1276"/>
              </w:tabs>
              <w:adjustRightInd w:val="0"/>
              <w:snapToGrid w:val="0"/>
              <w:spacing w:afterLines="100" w:line="276" w:lineRule="auto"/>
              <w:rPr>
                <w:rFonts w:ascii="Times New Roman" w:eastAsia="方正仿宋简体" w:hAnsi="Times New Roman"/>
                <w:color w:val="000000"/>
                <w:kern w:val="0"/>
                <w:sz w:val="22"/>
              </w:rPr>
            </w:pPr>
            <w:r w:rsidRPr="00F54EAB">
              <w:rPr>
                <w:rFonts w:ascii="Times New Roman" w:hAnsi="Times New Roman"/>
                <w:bCs/>
                <w:sz w:val="22"/>
              </w:rPr>
              <w:t>Option hedging positions are converted to the corresponding futures hedging positions upon exercise or performance of the option.</w:t>
            </w:r>
          </w:p>
        </w:tc>
        <w:tc>
          <w:tcPr>
            <w:tcW w:w="0" w:type="auto"/>
            <w:tcBorders>
              <w:top w:val="single" w:sz="8" w:space="0" w:color="4BACC6"/>
              <w:bottom w:val="single" w:sz="8" w:space="0" w:color="4BACC6"/>
            </w:tcBorders>
          </w:tcPr>
          <w:p w:rsidR="00E768CC" w:rsidRPr="00F54EAB" w:rsidRDefault="00E768CC" w:rsidP="00495D4E">
            <w:pPr>
              <w:snapToGrid w:val="0"/>
              <w:spacing w:afterLines="100" w:line="276" w:lineRule="auto"/>
              <w:rPr>
                <w:rFonts w:ascii="Times New Roman" w:hAnsi="Times New Roman"/>
                <w:bCs/>
                <w:sz w:val="22"/>
              </w:rPr>
            </w:pPr>
            <w:r w:rsidRPr="00F54EAB">
              <w:rPr>
                <w:rFonts w:ascii="Times New Roman" w:hAnsi="Times New Roman"/>
                <w:b/>
                <w:bCs/>
                <w:sz w:val="22"/>
              </w:rPr>
              <w:t xml:space="preserve">Article 45 </w:t>
            </w:r>
            <w:r w:rsidRPr="00F54EAB">
              <w:rPr>
                <w:rFonts w:ascii="Times New Roman" w:hAnsi="Times New Roman"/>
                <w:bCs/>
                <w:sz w:val="22"/>
              </w:rPr>
              <w:t>After obtaining the hedging quota, a Non-FF Member, an OSNBP or a Client may open positions before the market closes on the third trading day prior to the last trading day of the contract related to hedging. If the positions are not opened by the prescribed deadline, it is deemed a waiver of the hedging quota.</w:t>
            </w:r>
          </w:p>
          <w:p w:rsidR="00E768CC" w:rsidRPr="00F54EAB" w:rsidRDefault="00E768CC" w:rsidP="00495D4E">
            <w:pPr>
              <w:tabs>
                <w:tab w:val="left" w:pos="1276"/>
              </w:tabs>
              <w:snapToGrid w:val="0"/>
              <w:spacing w:afterLines="100" w:line="276" w:lineRule="auto"/>
              <w:rPr>
                <w:rFonts w:ascii="Times New Roman" w:hAnsi="Times New Roman"/>
                <w:b/>
                <w:bCs/>
                <w:sz w:val="22"/>
              </w:rPr>
            </w:pPr>
            <w:r w:rsidRPr="00F54EAB">
              <w:rPr>
                <w:rFonts w:ascii="Times New Roman" w:hAnsi="Times New Roman"/>
                <w:bCs/>
                <w:sz w:val="22"/>
              </w:rPr>
              <w:t>Option hedging positions are converted to the corresponding futures hedging positions upon exercise or performance of the option.</w:t>
            </w:r>
          </w:p>
        </w:tc>
      </w:tr>
      <w:tr w:rsidR="00E768CC" w:rsidTr="00E768CC">
        <w:trPr>
          <w:trHeight w:val="981"/>
        </w:trPr>
        <w:tc>
          <w:tcPr>
            <w:tcW w:w="0" w:type="auto"/>
            <w:tcBorders>
              <w:top w:val="single" w:sz="8" w:space="0" w:color="4BACC6"/>
              <w:left w:val="single" w:sz="8" w:space="0" w:color="4BACC6"/>
              <w:bottom w:val="single" w:sz="8" w:space="0" w:color="4BACC6"/>
            </w:tcBorders>
          </w:tcPr>
          <w:p w:rsidR="00E768CC" w:rsidRPr="00F54EAB" w:rsidRDefault="00E768CC" w:rsidP="00495D4E">
            <w:pPr>
              <w:adjustRightInd w:val="0"/>
              <w:snapToGrid w:val="0"/>
              <w:spacing w:afterLines="100" w:line="276" w:lineRule="auto"/>
              <w:jc w:val="left"/>
              <w:rPr>
                <w:rFonts w:ascii="Times New Roman" w:hAnsi="Times New Roman"/>
                <w:sz w:val="22"/>
              </w:rPr>
            </w:pPr>
            <w:r w:rsidRPr="00F54EAB">
              <w:rPr>
                <w:rFonts w:ascii="Times New Roman" w:hAnsi="Times New Roman"/>
                <w:b/>
                <w:bCs/>
                <w:sz w:val="22"/>
              </w:rPr>
              <w:t>Article 8</w:t>
            </w:r>
            <w:r w:rsidRPr="00F54EAB">
              <w:rPr>
                <w:rFonts w:ascii="Times New Roman" w:hAnsi="Times New Roman" w:hint="eastAsia"/>
                <w:b/>
                <w:bCs/>
                <w:sz w:val="22"/>
              </w:rPr>
              <w:t>5</w:t>
            </w:r>
            <w:r w:rsidR="000266CD">
              <w:rPr>
                <w:rFonts w:ascii="Times New Roman" w:hAnsi="Times New Roman" w:hint="eastAsia"/>
                <w:b/>
                <w:bCs/>
                <w:sz w:val="22"/>
              </w:rPr>
              <w:t xml:space="preserve"> </w:t>
            </w:r>
            <w:r w:rsidRPr="00F54EAB">
              <w:rPr>
                <w:rFonts w:ascii="Times New Roman" w:hAnsi="Times New Roman"/>
                <w:bCs/>
                <w:sz w:val="22"/>
              </w:rPr>
              <w:t xml:space="preserve">These </w:t>
            </w:r>
            <w:r w:rsidRPr="00F54EAB">
              <w:rPr>
                <w:rFonts w:ascii="Times New Roman" w:hAnsi="Times New Roman"/>
                <w:bCs/>
                <w:i/>
                <w:sz w:val="22"/>
              </w:rPr>
              <w:t>Trading Rules</w:t>
            </w:r>
            <w:r w:rsidRPr="00F54EAB">
              <w:rPr>
                <w:rFonts w:ascii="Times New Roman" w:hAnsi="Times New Roman"/>
                <w:bCs/>
                <w:sz w:val="22"/>
              </w:rPr>
              <w:t xml:space="preserve"> shall be effective as of</w:t>
            </w:r>
            <w:r w:rsidR="00A85526">
              <w:rPr>
                <w:rFonts w:ascii="Times New Roman" w:hAnsi="Times New Roman" w:hint="eastAsia"/>
                <w:bCs/>
                <w:sz w:val="22"/>
              </w:rPr>
              <w:t xml:space="preserve"> </w:t>
            </w:r>
            <w:r w:rsidR="00A85526">
              <w:rPr>
                <w:rFonts w:ascii="Times New Roman" w:hAnsi="Times New Roman" w:cs="Arial"/>
                <w:kern w:val="0"/>
                <w:sz w:val="22"/>
              </w:rPr>
              <w:t>November 21</w:t>
            </w:r>
            <w:r w:rsidRPr="00F54EAB">
              <w:rPr>
                <w:rFonts w:ascii="Times New Roman" w:hAnsi="Times New Roman"/>
                <w:bCs/>
                <w:dstrike/>
                <w:sz w:val="22"/>
              </w:rPr>
              <w:t xml:space="preserve">August </w:t>
            </w:r>
            <w:r w:rsidRPr="00F54EAB">
              <w:rPr>
                <w:rFonts w:ascii="Times New Roman" w:hAnsi="Times New Roman" w:hint="eastAsia"/>
                <w:bCs/>
                <w:dstrike/>
                <w:sz w:val="22"/>
              </w:rPr>
              <w:t>18</w:t>
            </w:r>
            <w:proofErr w:type="gramStart"/>
            <w:r w:rsidRPr="00F54EAB">
              <w:rPr>
                <w:rFonts w:ascii="Times New Roman" w:hAnsi="Times New Roman"/>
                <w:sz w:val="22"/>
              </w:rPr>
              <w:t>,</w:t>
            </w:r>
            <w:r w:rsidRPr="00F54EAB">
              <w:rPr>
                <w:rFonts w:ascii="Times New Roman" w:hAnsi="Times New Roman"/>
                <w:b/>
                <w:bCs/>
                <w:color w:val="FF0000"/>
                <w:sz w:val="22"/>
              </w:rPr>
              <w:t>2023</w:t>
            </w:r>
            <w:r w:rsidRPr="00F54EAB">
              <w:rPr>
                <w:rFonts w:ascii="Times New Roman" w:hAnsi="Times New Roman"/>
                <w:bCs/>
                <w:dstrike/>
                <w:sz w:val="22"/>
              </w:rPr>
              <w:t>2023</w:t>
            </w:r>
            <w:proofErr w:type="gramEnd"/>
            <w:r w:rsidRPr="00F54EAB">
              <w:rPr>
                <w:rFonts w:ascii="Times New Roman" w:hAnsi="Times New Roman"/>
                <w:sz w:val="22"/>
              </w:rPr>
              <w:t>.</w:t>
            </w:r>
          </w:p>
        </w:tc>
        <w:tc>
          <w:tcPr>
            <w:tcW w:w="0" w:type="auto"/>
            <w:tcBorders>
              <w:top w:val="single" w:sz="8" w:space="0" w:color="4BACC6"/>
              <w:bottom w:val="single" w:sz="8" w:space="0" w:color="4BACC6"/>
            </w:tcBorders>
          </w:tcPr>
          <w:p w:rsidR="00E768CC" w:rsidRPr="00F54EAB" w:rsidRDefault="000266CD" w:rsidP="00495D4E">
            <w:pPr>
              <w:snapToGrid w:val="0"/>
              <w:spacing w:afterLines="100" w:line="276" w:lineRule="auto"/>
              <w:rPr>
                <w:rFonts w:ascii="Times New Roman" w:hAnsi="Times New Roman"/>
                <w:sz w:val="22"/>
              </w:rPr>
            </w:pPr>
            <w:r>
              <w:rPr>
                <w:rFonts w:ascii="Times New Roman" w:hAnsi="Times New Roman"/>
                <w:b/>
                <w:bCs/>
                <w:sz w:val="22"/>
              </w:rPr>
              <w:t>Article</w:t>
            </w:r>
            <w:r>
              <w:rPr>
                <w:rFonts w:ascii="Times New Roman" w:hAnsi="Times New Roman" w:hint="eastAsia"/>
                <w:b/>
                <w:bCs/>
                <w:sz w:val="22"/>
              </w:rPr>
              <w:t xml:space="preserve"> </w:t>
            </w:r>
            <w:r w:rsidR="00E768CC" w:rsidRPr="00F54EAB">
              <w:rPr>
                <w:rFonts w:ascii="Times New Roman" w:hAnsi="Times New Roman"/>
                <w:b/>
                <w:bCs/>
                <w:sz w:val="22"/>
              </w:rPr>
              <w:t>8</w:t>
            </w:r>
            <w:r w:rsidR="00E768CC" w:rsidRPr="00F54EAB">
              <w:rPr>
                <w:rFonts w:ascii="Times New Roman" w:hAnsi="Times New Roman" w:hint="eastAsia"/>
                <w:b/>
                <w:bCs/>
                <w:sz w:val="22"/>
              </w:rPr>
              <w:t>5</w:t>
            </w:r>
            <w:r>
              <w:rPr>
                <w:rFonts w:ascii="Times New Roman" w:hAnsi="Times New Roman" w:hint="eastAsia"/>
                <w:b/>
                <w:bCs/>
                <w:sz w:val="22"/>
              </w:rPr>
              <w:t xml:space="preserve"> </w:t>
            </w:r>
            <w:r w:rsidR="00E768CC" w:rsidRPr="00F54EAB">
              <w:rPr>
                <w:rFonts w:ascii="Times New Roman" w:hAnsi="Times New Roman"/>
                <w:bCs/>
                <w:sz w:val="22"/>
              </w:rPr>
              <w:t>These</w:t>
            </w:r>
            <w:r>
              <w:rPr>
                <w:rFonts w:ascii="Times New Roman" w:hAnsi="Times New Roman" w:hint="eastAsia"/>
                <w:bCs/>
                <w:sz w:val="22"/>
              </w:rPr>
              <w:t xml:space="preserve"> </w:t>
            </w:r>
            <w:r w:rsidR="00E768CC" w:rsidRPr="00F54EAB">
              <w:rPr>
                <w:rFonts w:ascii="Times New Roman" w:hAnsi="Times New Roman"/>
                <w:bCs/>
                <w:i/>
                <w:sz w:val="22"/>
              </w:rPr>
              <w:t xml:space="preserve">Trading Rules </w:t>
            </w:r>
            <w:r w:rsidR="00E768CC" w:rsidRPr="00F54EAB">
              <w:rPr>
                <w:rFonts w:ascii="Times New Roman" w:hAnsi="Times New Roman"/>
                <w:bCs/>
                <w:sz w:val="22"/>
              </w:rPr>
              <w:t>shall be effective as of</w:t>
            </w:r>
            <w:r w:rsidR="00A85526">
              <w:rPr>
                <w:rFonts w:ascii="Times New Roman" w:hAnsi="Times New Roman" w:hint="eastAsia"/>
                <w:bCs/>
                <w:sz w:val="22"/>
              </w:rPr>
              <w:t xml:space="preserve"> </w:t>
            </w:r>
            <w:r w:rsidR="00E768CC" w:rsidRPr="00F54EAB">
              <w:rPr>
                <w:rFonts w:ascii="Times New Roman" w:hAnsi="Times New Roman"/>
                <w:bCs/>
                <w:sz w:val="22"/>
              </w:rPr>
              <w:t>August 18, 2023.</w:t>
            </w:r>
          </w:p>
        </w:tc>
      </w:tr>
    </w:tbl>
    <w:p w:rsidR="00E768CC" w:rsidRDefault="00E768CC" w:rsidP="00E768CC"/>
    <w:p w:rsidR="003263BC" w:rsidRPr="00E768CC" w:rsidRDefault="009129E4"/>
    <w:sectPr w:rsidR="003263BC" w:rsidRPr="00E768CC" w:rsidSect="00E71B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9E4" w:rsidRDefault="009129E4" w:rsidP="00E768CC">
      <w:r>
        <w:separator/>
      </w:r>
    </w:p>
  </w:endnote>
  <w:endnote w:type="continuationSeparator" w:id="0">
    <w:p w:rsidR="009129E4" w:rsidRDefault="009129E4" w:rsidP="00E768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9E4" w:rsidRDefault="009129E4" w:rsidP="00E768CC">
      <w:r>
        <w:separator/>
      </w:r>
    </w:p>
  </w:footnote>
  <w:footnote w:type="continuationSeparator" w:id="0">
    <w:p w:rsidR="009129E4" w:rsidRDefault="009129E4" w:rsidP="00E768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010B"/>
    <w:rsid w:val="000266CD"/>
    <w:rsid w:val="000E3074"/>
    <w:rsid w:val="001252C4"/>
    <w:rsid w:val="001F69E6"/>
    <w:rsid w:val="0045107C"/>
    <w:rsid w:val="00495D4E"/>
    <w:rsid w:val="004D0AA4"/>
    <w:rsid w:val="00500218"/>
    <w:rsid w:val="005C14DA"/>
    <w:rsid w:val="00843EDC"/>
    <w:rsid w:val="0086169E"/>
    <w:rsid w:val="009129E4"/>
    <w:rsid w:val="00936DBC"/>
    <w:rsid w:val="00A85526"/>
    <w:rsid w:val="00AA225F"/>
    <w:rsid w:val="00B90DBC"/>
    <w:rsid w:val="00C73053"/>
    <w:rsid w:val="00D01607"/>
    <w:rsid w:val="00D23BD0"/>
    <w:rsid w:val="00E143FB"/>
    <w:rsid w:val="00E71BB1"/>
    <w:rsid w:val="00E768CC"/>
    <w:rsid w:val="00F54EAB"/>
    <w:rsid w:val="00F6010B"/>
    <w:rsid w:val="00FD43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8C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68C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768CC"/>
    <w:rPr>
      <w:sz w:val="18"/>
      <w:szCs w:val="18"/>
    </w:rPr>
  </w:style>
  <w:style w:type="paragraph" w:styleId="a4">
    <w:name w:val="footer"/>
    <w:basedOn w:val="a"/>
    <w:link w:val="Char0"/>
    <w:uiPriority w:val="99"/>
    <w:unhideWhenUsed/>
    <w:rsid w:val="00E768C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768CC"/>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1355</Characters>
  <Application>Microsoft Office Word</Application>
  <DocSecurity>0</DocSecurity>
  <Lines>11</Lines>
  <Paragraphs>3</Paragraphs>
  <ScaleCrop>false</ScaleCrop>
  <Company>SHFE</Company>
  <LinksUpToDate>false</LinksUpToDate>
  <CharactersWithSpaces>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叶勇</dc:creator>
  <cp:lastModifiedBy>郑子函</cp:lastModifiedBy>
  <cp:revision>2</cp:revision>
  <cp:lastPrinted>2023-11-17T05:42:00Z</cp:lastPrinted>
  <dcterms:created xsi:type="dcterms:W3CDTF">2023-11-17T09:28:00Z</dcterms:created>
  <dcterms:modified xsi:type="dcterms:W3CDTF">2023-11-17T09:28:00Z</dcterms:modified>
</cp:coreProperties>
</file>