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D4" w:rsidRPr="00A407D4" w:rsidRDefault="005C5401" w:rsidP="00A407D4">
      <w:pPr>
        <w:spacing w:line="360" w:lineRule="auto"/>
        <w:rPr>
          <w:rFonts w:ascii="方正大标宋简体" w:eastAsia="方正大标宋简体" w:hAnsi="Times New Roman"/>
          <w:sz w:val="42"/>
          <w:szCs w:val="42"/>
        </w:rPr>
      </w:pPr>
      <w:r w:rsidRPr="00A407D4">
        <w:rPr>
          <w:rFonts w:ascii="方正大标宋简体" w:eastAsia="方正大标宋简体" w:hAnsi="宋体" w:hint="eastAsia"/>
          <w:sz w:val="42"/>
          <w:szCs w:val="42"/>
        </w:rPr>
        <w:t>附件</w:t>
      </w:r>
      <w:bookmarkStart w:id="0" w:name="_GoBack"/>
      <w:bookmarkStart w:id="1" w:name="OLE_LINK537"/>
      <w:r w:rsidRPr="004E7E89">
        <w:rPr>
          <w:rFonts w:ascii="Times New Roman" w:eastAsia="方正大标宋简体" w:hAnsi="Times New Roman"/>
          <w:sz w:val="42"/>
          <w:szCs w:val="42"/>
        </w:rPr>
        <w:t>1</w:t>
      </w:r>
      <w:bookmarkEnd w:id="0"/>
    </w:p>
    <w:bookmarkEnd w:id="1"/>
    <w:p w:rsidR="00A407D4" w:rsidRDefault="005C5401" w:rsidP="00A407D4">
      <w:pPr>
        <w:keepNext/>
        <w:keepLines/>
        <w:jc w:val="center"/>
        <w:outlineLvl w:val="0"/>
        <w:rPr>
          <w:rFonts w:ascii="方正大标宋简体" w:eastAsia="方正大标宋简体" w:hAnsi="Times"/>
          <w:bCs/>
          <w:kern w:val="44"/>
          <w:sz w:val="42"/>
          <w:szCs w:val="42"/>
        </w:rPr>
      </w:pPr>
      <w:r w:rsidRPr="00A407D4">
        <w:rPr>
          <w:rFonts w:ascii="方正大标宋简体" w:eastAsia="方正大标宋简体" w:hAnsi="Times" w:hint="eastAsia"/>
          <w:bCs/>
          <w:kern w:val="44"/>
          <w:sz w:val="42"/>
          <w:szCs w:val="42"/>
        </w:rPr>
        <w:t>《上海国际能源交易中心交易细则》条文</w:t>
      </w:r>
    </w:p>
    <w:p w:rsidR="005C5401" w:rsidRPr="00A407D4" w:rsidRDefault="005C5401" w:rsidP="00A407D4">
      <w:pPr>
        <w:keepNext/>
        <w:keepLines/>
        <w:jc w:val="center"/>
        <w:outlineLvl w:val="0"/>
        <w:rPr>
          <w:rFonts w:ascii="方正大标宋简体" w:eastAsia="方正大标宋简体" w:hAnsi="Times"/>
          <w:bCs/>
          <w:kern w:val="44"/>
          <w:sz w:val="42"/>
          <w:szCs w:val="42"/>
        </w:rPr>
      </w:pPr>
      <w:r w:rsidRPr="00A407D4">
        <w:rPr>
          <w:rFonts w:ascii="方正大标宋简体" w:eastAsia="方正大标宋简体" w:hAnsi="Times" w:hint="eastAsia"/>
          <w:bCs/>
          <w:kern w:val="44"/>
          <w:sz w:val="42"/>
          <w:szCs w:val="42"/>
        </w:rPr>
        <w:t>修订对照表</w:t>
      </w:r>
    </w:p>
    <w:p w:rsidR="005C5401" w:rsidRPr="006C4496" w:rsidRDefault="005C5401" w:rsidP="00A407D4">
      <w:pPr>
        <w:spacing w:line="480" w:lineRule="exact"/>
        <w:jc w:val="left"/>
        <w:rPr>
          <w:rFonts w:ascii="Times" w:eastAsia="方正仿宋简体" w:hAnsi="Times"/>
          <w:sz w:val="30"/>
          <w:szCs w:val="30"/>
        </w:rPr>
      </w:pPr>
      <w:r w:rsidRPr="006C4496">
        <w:rPr>
          <w:rFonts w:ascii="Times" w:eastAsia="方正仿宋简体" w:hAnsi="Times"/>
          <w:sz w:val="30"/>
          <w:szCs w:val="30"/>
        </w:rPr>
        <w:t>注：加</w:t>
      </w:r>
      <w:r>
        <w:rPr>
          <w:rFonts w:ascii="Times" w:eastAsia="方正仿宋简体" w:hAnsi="Times" w:hint="eastAsia"/>
          <w:sz w:val="30"/>
          <w:szCs w:val="30"/>
        </w:rPr>
        <w:t>双</w:t>
      </w:r>
      <w:r w:rsidRPr="006C4496">
        <w:rPr>
          <w:rFonts w:ascii="Times" w:eastAsia="方正仿宋简体" w:hAnsi="Times"/>
          <w:sz w:val="30"/>
          <w:szCs w:val="30"/>
        </w:rPr>
        <w:t>删除线表示删除内容，红色字体加粗表示新增内容</w:t>
      </w:r>
    </w:p>
    <w:tbl>
      <w:tblPr>
        <w:tblpPr w:leftFromText="180" w:rightFromText="180" w:vertAnchor="text" w:tblpXSpec="center" w:tblpY="1"/>
        <w:tblOverlap w:val="never"/>
        <w:tblW w:w="898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526"/>
        <w:gridCol w:w="4455"/>
      </w:tblGrid>
      <w:tr w:rsidR="005C5401" w:rsidRPr="006C4496" w:rsidTr="00BE451E">
        <w:trPr>
          <w:trHeight w:val="135"/>
        </w:trPr>
        <w:tc>
          <w:tcPr>
            <w:tcW w:w="4526" w:type="dxa"/>
            <w:shd w:val="clear" w:color="auto" w:fill="4BACC6"/>
          </w:tcPr>
          <w:p w:rsidR="005C5401" w:rsidRPr="006C4496" w:rsidRDefault="005C5401" w:rsidP="00A407D4">
            <w:pPr>
              <w:spacing w:line="580" w:lineRule="exact"/>
              <w:jc w:val="center"/>
              <w:rPr>
                <w:rFonts w:ascii="Times" w:eastAsia="方正仿宋简体" w:hAnsi="Times"/>
                <w:bCs/>
                <w:sz w:val="30"/>
                <w:szCs w:val="30"/>
                <w:shd w:val="clear" w:color="auto" w:fill="FF0000"/>
              </w:rPr>
            </w:pPr>
            <w:r>
              <w:rPr>
                <w:rFonts w:ascii="Times" w:eastAsia="方正仿宋简体" w:hAnsi="Times" w:hint="eastAsia"/>
                <w:b/>
                <w:bCs/>
                <w:color w:val="FFFFFF"/>
                <w:sz w:val="30"/>
                <w:szCs w:val="30"/>
              </w:rPr>
              <w:t>修订版</w:t>
            </w:r>
          </w:p>
        </w:tc>
        <w:tc>
          <w:tcPr>
            <w:tcW w:w="4455" w:type="dxa"/>
            <w:shd w:val="clear" w:color="auto" w:fill="4BACC6"/>
          </w:tcPr>
          <w:p w:rsidR="005C5401" w:rsidRPr="006C4496" w:rsidRDefault="005C5401" w:rsidP="00A407D4">
            <w:pPr>
              <w:tabs>
                <w:tab w:val="left" w:pos="210"/>
                <w:tab w:val="center" w:pos="2869"/>
              </w:tabs>
              <w:spacing w:line="580" w:lineRule="exact"/>
              <w:jc w:val="center"/>
              <w:rPr>
                <w:rFonts w:ascii="Times" w:eastAsia="方正仿宋简体" w:hAnsi="Times"/>
                <w:b/>
                <w:bCs/>
                <w:color w:val="FFFFFF"/>
                <w:sz w:val="30"/>
                <w:szCs w:val="30"/>
              </w:rPr>
            </w:pPr>
            <w:r>
              <w:rPr>
                <w:rFonts w:ascii="Times" w:eastAsia="方正仿宋简体" w:hAnsi="Times" w:hint="eastAsia"/>
                <w:b/>
                <w:bCs/>
                <w:color w:val="FFFFFF"/>
                <w:sz w:val="30"/>
                <w:szCs w:val="30"/>
              </w:rPr>
              <w:t>20</w:t>
            </w:r>
            <w:r>
              <w:rPr>
                <w:rFonts w:ascii="Times" w:eastAsia="方正仿宋简体" w:hAnsi="Times"/>
                <w:b/>
                <w:bCs/>
                <w:color w:val="FFFFFF"/>
                <w:sz w:val="30"/>
                <w:szCs w:val="30"/>
              </w:rPr>
              <w:t>2</w:t>
            </w:r>
            <w:r>
              <w:rPr>
                <w:rFonts w:ascii="Times" w:eastAsia="方正仿宋简体" w:hAnsi="Times" w:hint="eastAsia"/>
                <w:b/>
                <w:bCs/>
                <w:color w:val="FFFFFF"/>
                <w:sz w:val="30"/>
                <w:szCs w:val="30"/>
              </w:rPr>
              <w:t>3</w:t>
            </w:r>
            <w:r>
              <w:rPr>
                <w:rFonts w:ascii="Times" w:eastAsia="方正仿宋简体" w:hAnsi="Times" w:hint="eastAsia"/>
                <w:b/>
                <w:bCs/>
                <w:color w:val="FFFFFF"/>
                <w:sz w:val="30"/>
                <w:szCs w:val="30"/>
              </w:rPr>
              <w:t>年</w:t>
            </w:r>
            <w:r>
              <w:rPr>
                <w:rFonts w:ascii="Times" w:eastAsia="方正仿宋简体" w:hAnsi="Times" w:hint="eastAsia"/>
                <w:b/>
                <w:bCs/>
                <w:color w:val="FFFFFF"/>
                <w:sz w:val="30"/>
                <w:szCs w:val="30"/>
              </w:rPr>
              <w:t>8</w:t>
            </w:r>
            <w:r>
              <w:rPr>
                <w:rFonts w:ascii="Times" w:eastAsia="方正仿宋简体" w:hAnsi="Times" w:hint="eastAsia"/>
                <w:b/>
                <w:bCs/>
                <w:color w:val="FFFFFF"/>
                <w:sz w:val="30"/>
                <w:szCs w:val="30"/>
              </w:rPr>
              <w:t>月</w:t>
            </w:r>
            <w:r>
              <w:rPr>
                <w:rFonts w:ascii="Times" w:eastAsia="方正仿宋简体" w:hAnsi="Times" w:hint="eastAsia"/>
                <w:b/>
                <w:bCs/>
                <w:color w:val="FFFFFF"/>
                <w:sz w:val="30"/>
                <w:szCs w:val="30"/>
              </w:rPr>
              <w:t>18</w:t>
            </w:r>
            <w:r>
              <w:rPr>
                <w:rFonts w:ascii="Times" w:eastAsia="方正仿宋简体" w:hAnsi="Times" w:hint="eastAsia"/>
                <w:b/>
                <w:bCs/>
                <w:color w:val="FFFFFF"/>
                <w:sz w:val="30"/>
                <w:szCs w:val="30"/>
              </w:rPr>
              <w:t>日版本</w:t>
            </w:r>
          </w:p>
        </w:tc>
      </w:tr>
      <w:tr w:rsidR="005C5401" w:rsidRPr="006C4496" w:rsidTr="00BE451E">
        <w:trPr>
          <w:trHeight w:val="135"/>
        </w:trPr>
        <w:tc>
          <w:tcPr>
            <w:tcW w:w="4526" w:type="dxa"/>
            <w:tcBorders>
              <w:top w:val="single" w:sz="8" w:space="0" w:color="4BACC6"/>
              <w:left w:val="single" w:sz="8" w:space="0" w:color="4BACC6"/>
              <w:bottom w:val="single" w:sz="8" w:space="0" w:color="4BACC6"/>
            </w:tcBorders>
            <w:shd w:val="clear" w:color="auto" w:fill="auto"/>
          </w:tcPr>
          <w:p w:rsidR="005C5401" w:rsidRPr="005B4C96" w:rsidRDefault="005C5401" w:rsidP="00A407D4">
            <w:pPr>
              <w:spacing w:line="580" w:lineRule="exact"/>
              <w:rPr>
                <w:rFonts w:ascii="方正仿宋简体" w:eastAsia="方正仿宋简体"/>
                <w:color w:val="000000"/>
                <w:sz w:val="30"/>
                <w:szCs w:val="30"/>
              </w:rPr>
            </w:pPr>
            <w:r w:rsidRPr="003B3D5C">
              <w:rPr>
                <w:rFonts w:ascii="方正仿宋简体" w:eastAsia="方正仿宋简体" w:hint="eastAsia"/>
                <w:b/>
                <w:color w:val="000000"/>
                <w:sz w:val="30"/>
                <w:szCs w:val="30"/>
              </w:rPr>
              <w:t>第</w:t>
            </w:r>
            <w:r w:rsidRPr="005B4C96">
              <w:rPr>
                <w:rFonts w:ascii="方正仿宋简体" w:eastAsia="方正仿宋简体" w:hint="eastAsia"/>
                <w:b/>
                <w:color w:val="000000"/>
                <w:sz w:val="30"/>
                <w:szCs w:val="30"/>
              </w:rPr>
              <w:t>四十五</w:t>
            </w:r>
            <w:r w:rsidRPr="003B3D5C">
              <w:rPr>
                <w:rFonts w:ascii="方正仿宋简体" w:eastAsia="方正仿宋简体" w:hint="eastAsia"/>
                <w:b/>
                <w:color w:val="000000"/>
                <w:sz w:val="30"/>
                <w:szCs w:val="30"/>
              </w:rPr>
              <w:t xml:space="preserve">条 </w:t>
            </w:r>
            <w:r w:rsidRPr="005B4C96">
              <w:rPr>
                <w:rFonts w:ascii="方正仿宋简体" w:eastAsia="方正仿宋简体" w:hint="eastAsia"/>
                <w:color w:val="000000"/>
                <w:sz w:val="30"/>
                <w:szCs w:val="30"/>
              </w:rPr>
              <w:t>取得套期保值交易持仓额度后，非期货公司会员、境外特殊非经纪参与者或者客户</w:t>
            </w:r>
            <w:r w:rsidRPr="005B4C96">
              <w:rPr>
                <w:rFonts w:eastAsia="方正仿宋简体" w:hint="eastAsia"/>
                <w:dstrike/>
                <w:color w:val="000000"/>
                <w:sz w:val="30"/>
                <w:szCs w:val="30"/>
              </w:rPr>
              <w:t>可以在套期保值所涉合约最后交易日前第三个交易日收市前建仓。</w:t>
            </w:r>
            <w:r>
              <w:rPr>
                <w:rFonts w:ascii="方正仿宋简体" w:eastAsia="方正仿宋简体" w:hint="eastAsia"/>
                <w:b/>
                <w:color w:val="FF0000"/>
                <w:sz w:val="30"/>
                <w:szCs w:val="30"/>
              </w:rPr>
              <w:t>可以</w:t>
            </w:r>
            <w:r w:rsidRPr="005B4C96">
              <w:rPr>
                <w:rFonts w:ascii="方正仿宋简体" w:eastAsia="方正仿宋简体" w:hint="eastAsia"/>
                <w:b/>
                <w:color w:val="FF0000"/>
                <w:sz w:val="30"/>
                <w:szCs w:val="30"/>
              </w:rPr>
              <w:t>在该套期保值所涉合约最后交易日前第三个交易日收市前</w:t>
            </w:r>
            <w:r>
              <w:rPr>
                <w:rFonts w:ascii="方正仿宋简体" w:eastAsia="方正仿宋简体" w:hint="eastAsia"/>
                <w:b/>
                <w:color w:val="FF0000"/>
                <w:sz w:val="30"/>
                <w:szCs w:val="30"/>
              </w:rPr>
              <w:t>，通过交易指令直接建立套期保值交易头寸，或者按照要求通过确认</w:t>
            </w:r>
            <w:r w:rsidRPr="005B4C96">
              <w:rPr>
                <w:rFonts w:ascii="方正仿宋简体" w:eastAsia="方正仿宋简体" w:hint="eastAsia"/>
                <w:b/>
                <w:color w:val="FF0000"/>
                <w:sz w:val="30"/>
                <w:szCs w:val="30"/>
              </w:rPr>
              <w:t>持仓的方式建立套期保值交易头寸。</w:t>
            </w:r>
            <w:r w:rsidRPr="005B4C96">
              <w:rPr>
                <w:rFonts w:ascii="方正仿宋简体" w:eastAsia="方正仿宋简体" w:hint="eastAsia"/>
                <w:color w:val="000000"/>
                <w:sz w:val="30"/>
                <w:szCs w:val="30"/>
              </w:rPr>
              <w:t>在规定期限内未建仓的，视为自动放弃相应套期保值交易持仓额度。</w:t>
            </w:r>
          </w:p>
          <w:p w:rsidR="005C5401" w:rsidRPr="005B4C96" w:rsidRDefault="005C5401" w:rsidP="00A407D4">
            <w:pPr>
              <w:spacing w:line="580" w:lineRule="exact"/>
              <w:ind w:firstLineChars="200" w:firstLine="600"/>
              <w:rPr>
                <w:rFonts w:ascii="方正仿宋简体" w:eastAsia="方正仿宋简体"/>
                <w:color w:val="000000"/>
                <w:sz w:val="30"/>
                <w:szCs w:val="30"/>
              </w:rPr>
            </w:pPr>
            <w:r w:rsidRPr="005B4C96">
              <w:rPr>
                <w:rFonts w:ascii="方正仿宋简体" w:eastAsia="方正仿宋简体" w:hint="eastAsia"/>
                <w:color w:val="000000"/>
                <w:sz w:val="30"/>
                <w:szCs w:val="30"/>
              </w:rPr>
              <w:t>期权行权或者履约时，期权套期保值交易持仓转化为对应期货的套期保值交易持仓。</w:t>
            </w:r>
          </w:p>
        </w:tc>
        <w:tc>
          <w:tcPr>
            <w:tcW w:w="4455" w:type="dxa"/>
            <w:tcBorders>
              <w:top w:val="single" w:sz="8" w:space="0" w:color="4BACC6"/>
              <w:bottom w:val="single" w:sz="8" w:space="0" w:color="4BACC6"/>
            </w:tcBorders>
            <w:shd w:val="clear" w:color="auto" w:fill="auto"/>
          </w:tcPr>
          <w:p w:rsidR="005C5401" w:rsidRPr="005C1C80" w:rsidRDefault="005C5401" w:rsidP="00A407D4">
            <w:pPr>
              <w:spacing w:line="580" w:lineRule="exact"/>
              <w:rPr>
                <w:rFonts w:ascii="方正仿宋简体" w:eastAsia="方正仿宋简体"/>
                <w:color w:val="000000"/>
                <w:sz w:val="30"/>
                <w:szCs w:val="30"/>
              </w:rPr>
            </w:pPr>
            <w:r w:rsidRPr="003B3D5C">
              <w:rPr>
                <w:rFonts w:ascii="方正仿宋简体" w:eastAsia="方正仿宋简体" w:hint="eastAsia"/>
                <w:b/>
                <w:color w:val="000000"/>
                <w:sz w:val="30"/>
                <w:szCs w:val="30"/>
              </w:rPr>
              <w:t>第</w:t>
            </w:r>
            <w:r w:rsidRPr="005B4C96">
              <w:rPr>
                <w:rFonts w:ascii="方正仿宋简体" w:eastAsia="方正仿宋简体" w:hint="eastAsia"/>
                <w:b/>
                <w:color w:val="000000"/>
                <w:sz w:val="30"/>
                <w:szCs w:val="30"/>
              </w:rPr>
              <w:t>四十五</w:t>
            </w:r>
            <w:r w:rsidRPr="003B3D5C">
              <w:rPr>
                <w:rFonts w:ascii="方正仿宋简体" w:eastAsia="方正仿宋简体" w:hint="eastAsia"/>
                <w:b/>
                <w:color w:val="000000"/>
                <w:sz w:val="30"/>
                <w:szCs w:val="30"/>
              </w:rPr>
              <w:t xml:space="preserve">条 </w:t>
            </w:r>
            <w:r w:rsidRPr="005C1C80">
              <w:rPr>
                <w:rFonts w:ascii="方正仿宋简体" w:eastAsia="方正仿宋简体" w:hint="eastAsia"/>
                <w:color w:val="000000"/>
                <w:sz w:val="30"/>
                <w:szCs w:val="30"/>
              </w:rPr>
              <w:t>取得套期保值交易持仓额度后，非期货公司会员、境外特殊非经纪参与者或者客户可以在套期保值所涉合约最后交易日前第三个交易日收市前建仓。在规定期限内未建仓的，视为自动放弃相应套期保值交易持仓额度。</w:t>
            </w:r>
          </w:p>
          <w:p w:rsidR="005C5401" w:rsidRDefault="005C5401" w:rsidP="00A407D4">
            <w:pPr>
              <w:spacing w:line="580" w:lineRule="exact"/>
              <w:ind w:firstLineChars="200" w:firstLine="600"/>
            </w:pPr>
            <w:r w:rsidRPr="005C1C80">
              <w:rPr>
                <w:rFonts w:ascii="方正仿宋简体" w:eastAsia="方正仿宋简体" w:hint="eastAsia"/>
                <w:color w:val="000000"/>
                <w:sz w:val="30"/>
                <w:szCs w:val="30"/>
              </w:rPr>
              <w:t>期权行权或者履约时，期权套期保值交易持仓转化为对应期货的套期保值交易持仓。</w:t>
            </w:r>
          </w:p>
        </w:tc>
      </w:tr>
      <w:tr w:rsidR="005C5401" w:rsidRPr="006C4496" w:rsidTr="00BE451E">
        <w:trPr>
          <w:trHeight w:val="135"/>
        </w:trPr>
        <w:tc>
          <w:tcPr>
            <w:tcW w:w="4526" w:type="dxa"/>
            <w:tcBorders>
              <w:top w:val="single" w:sz="8" w:space="0" w:color="4BACC6"/>
              <w:left w:val="single" w:sz="8" w:space="0" w:color="4BACC6"/>
              <w:bottom w:val="single" w:sz="8" w:space="0" w:color="4BACC6"/>
            </w:tcBorders>
            <w:shd w:val="clear" w:color="auto" w:fill="auto"/>
          </w:tcPr>
          <w:p w:rsidR="005C5401" w:rsidRPr="00F53B0E" w:rsidRDefault="005C5401" w:rsidP="00A407D4">
            <w:pPr>
              <w:autoSpaceDE w:val="0"/>
              <w:autoSpaceDN w:val="0"/>
              <w:spacing w:line="580" w:lineRule="exact"/>
              <w:rPr>
                <w:rFonts w:ascii="方正仿宋简体" w:eastAsia="方正仿宋简体" w:hAnsi="Times"/>
                <w:b/>
                <w:color w:val="FF0000"/>
                <w:kern w:val="0"/>
                <w:sz w:val="30"/>
                <w:szCs w:val="30"/>
              </w:rPr>
            </w:pPr>
            <w:r w:rsidRPr="006802F6">
              <w:rPr>
                <w:rFonts w:ascii="方正仿宋简体" w:eastAsia="方正仿宋简体" w:hint="eastAsia"/>
                <w:b/>
                <w:color w:val="000000"/>
                <w:sz w:val="30"/>
                <w:szCs w:val="30"/>
              </w:rPr>
              <w:t>第八十</w:t>
            </w:r>
            <w:r>
              <w:rPr>
                <w:rFonts w:ascii="方正仿宋简体" w:eastAsia="方正仿宋简体" w:hint="eastAsia"/>
                <w:b/>
                <w:color w:val="000000"/>
                <w:sz w:val="30"/>
                <w:szCs w:val="30"/>
              </w:rPr>
              <w:t>五</w:t>
            </w:r>
            <w:r w:rsidRPr="006802F6">
              <w:rPr>
                <w:rFonts w:ascii="方正仿宋简体" w:eastAsia="方正仿宋简体" w:hint="eastAsia"/>
                <w:b/>
                <w:color w:val="000000"/>
                <w:sz w:val="30"/>
                <w:szCs w:val="30"/>
              </w:rPr>
              <w:t>条</w:t>
            </w:r>
            <w:r>
              <w:rPr>
                <w:rFonts w:ascii="方正仿宋简体" w:eastAsia="方正仿宋简体" w:hint="eastAsia"/>
                <w:color w:val="000000"/>
                <w:sz w:val="30"/>
                <w:szCs w:val="30"/>
              </w:rPr>
              <w:t>本细则</w:t>
            </w:r>
            <w:r w:rsidRPr="00F53B0E">
              <w:rPr>
                <w:rFonts w:ascii="方正仿宋简体" w:eastAsia="方正仿宋简体" w:hint="eastAsia"/>
                <w:color w:val="000000"/>
                <w:sz w:val="30"/>
                <w:szCs w:val="30"/>
              </w:rPr>
              <w:t>自</w:t>
            </w:r>
            <w:r w:rsidR="00927CF5">
              <w:rPr>
                <w:rFonts w:eastAsia="方正仿宋简体" w:hint="eastAsia"/>
                <w:b/>
                <w:color w:val="FF0000"/>
                <w:sz w:val="30"/>
                <w:szCs w:val="30"/>
              </w:rPr>
              <w:t>2023</w:t>
            </w:r>
            <w:r w:rsidRPr="00F53B0E">
              <w:rPr>
                <w:rFonts w:eastAsia="方正仿宋简体"/>
                <w:dstrike/>
                <w:color w:val="000000"/>
                <w:sz w:val="30"/>
                <w:szCs w:val="30"/>
              </w:rPr>
              <w:t>20</w:t>
            </w:r>
            <w:r>
              <w:rPr>
                <w:rFonts w:eastAsia="方正仿宋简体"/>
                <w:dstrike/>
                <w:color w:val="000000"/>
                <w:sz w:val="30"/>
                <w:szCs w:val="30"/>
              </w:rPr>
              <w:t>2</w:t>
            </w:r>
            <w:r>
              <w:rPr>
                <w:rFonts w:eastAsia="方正仿宋简体" w:hint="eastAsia"/>
                <w:dstrike/>
                <w:color w:val="000000"/>
                <w:sz w:val="30"/>
                <w:szCs w:val="30"/>
              </w:rPr>
              <w:t>3</w:t>
            </w:r>
            <w:r w:rsidRPr="00F53B0E">
              <w:rPr>
                <w:rFonts w:ascii="方正仿宋简体" w:eastAsia="方正仿宋简体" w:hint="eastAsia"/>
                <w:color w:val="000000"/>
                <w:sz w:val="30"/>
                <w:szCs w:val="30"/>
              </w:rPr>
              <w:t>年</w:t>
            </w:r>
            <w:proofErr w:type="gramStart"/>
            <w:r w:rsidR="00927CF5">
              <w:rPr>
                <w:rFonts w:eastAsia="方正仿宋简体" w:hint="eastAsia"/>
                <w:b/>
                <w:color w:val="FF0000"/>
                <w:sz w:val="30"/>
                <w:szCs w:val="30"/>
              </w:rPr>
              <w:t>11</w:t>
            </w:r>
            <w:r>
              <w:rPr>
                <w:rFonts w:eastAsia="方正仿宋简体" w:hint="eastAsia"/>
                <w:dstrike/>
                <w:color w:val="000000"/>
                <w:sz w:val="30"/>
                <w:szCs w:val="30"/>
              </w:rPr>
              <w:t>8</w:t>
            </w:r>
            <w:proofErr w:type="gramEnd"/>
            <w:r w:rsidRPr="00F53B0E">
              <w:rPr>
                <w:rFonts w:ascii="方正仿宋简体" w:eastAsia="方正仿宋简体" w:hint="eastAsia"/>
                <w:color w:val="000000"/>
                <w:sz w:val="30"/>
                <w:szCs w:val="30"/>
              </w:rPr>
              <w:t>月</w:t>
            </w:r>
            <w:r w:rsidR="00927CF5">
              <w:rPr>
                <w:rFonts w:eastAsia="方正仿宋简体" w:hint="eastAsia"/>
                <w:b/>
                <w:color w:val="FF0000"/>
                <w:sz w:val="30"/>
                <w:szCs w:val="30"/>
              </w:rPr>
              <w:t>21</w:t>
            </w:r>
            <w:r>
              <w:rPr>
                <w:rFonts w:eastAsia="方正仿宋简体" w:hint="eastAsia"/>
                <w:dstrike/>
                <w:color w:val="000000"/>
                <w:sz w:val="30"/>
                <w:szCs w:val="30"/>
              </w:rPr>
              <w:t>18</w:t>
            </w:r>
            <w:r w:rsidRPr="00F53B0E">
              <w:rPr>
                <w:rFonts w:ascii="方正仿宋简体" w:eastAsia="方正仿宋简体" w:hint="eastAsia"/>
                <w:color w:val="000000"/>
                <w:sz w:val="30"/>
                <w:szCs w:val="30"/>
              </w:rPr>
              <w:t>日起实施。</w:t>
            </w:r>
          </w:p>
        </w:tc>
        <w:tc>
          <w:tcPr>
            <w:tcW w:w="4455" w:type="dxa"/>
            <w:tcBorders>
              <w:top w:val="single" w:sz="8" w:space="0" w:color="4BACC6"/>
              <w:bottom w:val="single" w:sz="8" w:space="0" w:color="4BACC6"/>
            </w:tcBorders>
            <w:shd w:val="clear" w:color="auto" w:fill="auto"/>
          </w:tcPr>
          <w:p w:rsidR="005C5401" w:rsidRDefault="005C5401" w:rsidP="00A407D4">
            <w:pPr>
              <w:autoSpaceDE w:val="0"/>
              <w:autoSpaceDN w:val="0"/>
              <w:spacing w:line="580" w:lineRule="exact"/>
            </w:pPr>
            <w:r w:rsidRPr="006802F6">
              <w:rPr>
                <w:rFonts w:ascii="方正仿宋简体" w:eastAsia="方正仿宋简体" w:hint="eastAsia"/>
                <w:b/>
                <w:color w:val="000000"/>
                <w:sz w:val="30"/>
                <w:szCs w:val="30"/>
              </w:rPr>
              <w:t>第八十</w:t>
            </w:r>
            <w:r>
              <w:rPr>
                <w:rFonts w:ascii="方正仿宋简体" w:eastAsia="方正仿宋简体" w:hint="eastAsia"/>
                <w:b/>
                <w:color w:val="000000"/>
                <w:sz w:val="30"/>
                <w:szCs w:val="30"/>
              </w:rPr>
              <w:t>五</w:t>
            </w:r>
            <w:r w:rsidRPr="006802F6">
              <w:rPr>
                <w:rFonts w:ascii="方正仿宋简体" w:eastAsia="方正仿宋简体" w:hint="eastAsia"/>
                <w:b/>
                <w:color w:val="000000"/>
                <w:sz w:val="30"/>
                <w:szCs w:val="30"/>
              </w:rPr>
              <w:t>条</w:t>
            </w:r>
            <w:r w:rsidRPr="00AC2D8B">
              <w:rPr>
                <w:rFonts w:eastAsia="方正仿宋简体" w:hint="eastAsia"/>
                <w:kern w:val="0"/>
                <w:sz w:val="30"/>
                <w:szCs w:val="30"/>
              </w:rPr>
              <w:t>本细则自</w:t>
            </w:r>
            <w:r w:rsidRPr="00AC2D8B">
              <w:rPr>
                <w:rFonts w:eastAsia="方正仿宋简体" w:hint="eastAsia"/>
                <w:kern w:val="0"/>
                <w:sz w:val="30"/>
                <w:szCs w:val="30"/>
              </w:rPr>
              <w:t>202</w:t>
            </w:r>
            <w:r>
              <w:rPr>
                <w:rFonts w:eastAsia="方正仿宋简体" w:hint="eastAsia"/>
                <w:kern w:val="0"/>
                <w:sz w:val="30"/>
                <w:szCs w:val="30"/>
              </w:rPr>
              <w:t>3</w:t>
            </w:r>
            <w:r w:rsidRPr="00AC2D8B">
              <w:rPr>
                <w:rFonts w:eastAsia="方正仿宋简体" w:hint="eastAsia"/>
                <w:kern w:val="0"/>
                <w:sz w:val="30"/>
                <w:szCs w:val="30"/>
              </w:rPr>
              <w:t>年</w:t>
            </w:r>
            <w:r>
              <w:rPr>
                <w:rFonts w:eastAsia="方正仿宋简体" w:hint="eastAsia"/>
                <w:kern w:val="0"/>
                <w:sz w:val="30"/>
                <w:szCs w:val="30"/>
              </w:rPr>
              <w:t>8</w:t>
            </w:r>
            <w:r w:rsidRPr="00AC2D8B">
              <w:rPr>
                <w:rFonts w:eastAsia="方正仿宋简体" w:hint="eastAsia"/>
                <w:kern w:val="0"/>
                <w:sz w:val="30"/>
                <w:szCs w:val="30"/>
              </w:rPr>
              <w:t>月</w:t>
            </w:r>
            <w:r>
              <w:rPr>
                <w:rFonts w:eastAsia="方正仿宋简体" w:hint="eastAsia"/>
                <w:kern w:val="0"/>
                <w:sz w:val="30"/>
                <w:szCs w:val="30"/>
              </w:rPr>
              <w:t>18</w:t>
            </w:r>
            <w:r w:rsidRPr="00AC2D8B">
              <w:rPr>
                <w:rFonts w:eastAsia="方正仿宋简体" w:hint="eastAsia"/>
                <w:kern w:val="0"/>
                <w:sz w:val="30"/>
                <w:szCs w:val="30"/>
              </w:rPr>
              <w:t>日起实施。</w:t>
            </w:r>
          </w:p>
        </w:tc>
      </w:tr>
    </w:tbl>
    <w:p w:rsidR="003263BC" w:rsidRPr="005C5401" w:rsidRDefault="001B271E"/>
    <w:sectPr w:rsidR="003263BC" w:rsidRPr="005C5401" w:rsidSect="00E836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1E" w:rsidRDefault="001B271E" w:rsidP="005C5401">
      <w:r>
        <w:separator/>
      </w:r>
    </w:p>
  </w:endnote>
  <w:endnote w:type="continuationSeparator" w:id="0">
    <w:p w:rsidR="001B271E" w:rsidRDefault="001B271E" w:rsidP="005C5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1E" w:rsidRDefault="001B271E" w:rsidP="005C5401">
      <w:r>
        <w:separator/>
      </w:r>
    </w:p>
  </w:footnote>
  <w:footnote w:type="continuationSeparator" w:id="0">
    <w:p w:rsidR="001B271E" w:rsidRDefault="001B271E" w:rsidP="005C5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CDD"/>
    <w:rsid w:val="001B271E"/>
    <w:rsid w:val="00237627"/>
    <w:rsid w:val="0031213A"/>
    <w:rsid w:val="0038625F"/>
    <w:rsid w:val="004E7E89"/>
    <w:rsid w:val="005C5401"/>
    <w:rsid w:val="00927CF5"/>
    <w:rsid w:val="00A407D4"/>
    <w:rsid w:val="00C75F80"/>
    <w:rsid w:val="00CF0EA4"/>
    <w:rsid w:val="00DC10A6"/>
    <w:rsid w:val="00E143FB"/>
    <w:rsid w:val="00E836FB"/>
    <w:rsid w:val="00F21CDD"/>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4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5401"/>
    <w:rPr>
      <w:sz w:val="18"/>
      <w:szCs w:val="18"/>
    </w:rPr>
  </w:style>
  <w:style w:type="paragraph" w:styleId="a4">
    <w:name w:val="footer"/>
    <w:basedOn w:val="a"/>
    <w:link w:val="Char0"/>
    <w:uiPriority w:val="99"/>
    <w:unhideWhenUsed/>
    <w:rsid w:val="005C54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5401"/>
    <w:rPr>
      <w:sz w:val="18"/>
      <w:szCs w:val="18"/>
    </w:rPr>
  </w:style>
  <w:style w:type="paragraph" w:styleId="a5">
    <w:name w:val="Balloon Text"/>
    <w:basedOn w:val="a"/>
    <w:link w:val="Char1"/>
    <w:uiPriority w:val="99"/>
    <w:semiHidden/>
    <w:unhideWhenUsed/>
    <w:rsid w:val="004E7E89"/>
    <w:rPr>
      <w:sz w:val="18"/>
      <w:szCs w:val="18"/>
    </w:rPr>
  </w:style>
  <w:style w:type="character" w:customStyle="1" w:styleId="Char1">
    <w:name w:val="批注框文本 Char"/>
    <w:basedOn w:val="a0"/>
    <w:link w:val="a5"/>
    <w:uiPriority w:val="99"/>
    <w:semiHidden/>
    <w:rsid w:val="004E7E8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SHFE</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2023-11-17T09:07:00Z</cp:lastPrinted>
  <dcterms:created xsi:type="dcterms:W3CDTF">2023-11-17T09:38:00Z</dcterms:created>
  <dcterms:modified xsi:type="dcterms:W3CDTF">2023-11-17T09:38:00Z</dcterms:modified>
</cp:coreProperties>
</file>