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74" w:rsidRPr="000A4B9F" w:rsidRDefault="000A4B9F" w:rsidP="00482374">
      <w:pPr>
        <w:jc w:val="left"/>
        <w:rPr>
          <w:rFonts w:ascii="Times New Roman" w:eastAsia="方正仿宋简体" w:hAnsi="Times New Roman" w:cs="Times New Roman"/>
          <w:b/>
          <w:sz w:val="32"/>
        </w:rPr>
      </w:pPr>
      <w:r w:rsidRPr="000A4B9F">
        <w:rPr>
          <w:rFonts w:ascii="Times New Roman" w:eastAsia="方正仿宋简体" w:hAnsi="Times New Roman" w:cs="Times New Roman"/>
          <w:b/>
          <w:sz w:val="32"/>
        </w:rPr>
        <w:t>Appendix</w:t>
      </w:r>
      <w:r w:rsidR="00482374" w:rsidRPr="000A4B9F">
        <w:rPr>
          <w:rFonts w:ascii="Times New Roman" w:eastAsia="方正仿宋简体" w:hAnsi="Times New Roman" w:cs="Times New Roman"/>
          <w:b/>
          <w:sz w:val="32"/>
        </w:rPr>
        <w:t xml:space="preserve"> 1</w:t>
      </w:r>
    </w:p>
    <w:p w:rsidR="00482374" w:rsidRPr="000A4B9F" w:rsidRDefault="00482374" w:rsidP="000A4B9F">
      <w:pPr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  <w:r w:rsidRPr="000A4B9F">
        <w:rPr>
          <w:rFonts w:ascii="Times New Roman" w:eastAsia="方正大标宋简体" w:hAnsi="Times New Roman" w:cs="Times New Roman"/>
          <w:b/>
          <w:sz w:val="42"/>
          <w:szCs w:val="42"/>
        </w:rPr>
        <w:t>The Lead Futures Contract of Shanghai Futures Exchange</w:t>
      </w:r>
    </w:p>
    <w:p w:rsidR="00482374" w:rsidRPr="000A4B9F" w:rsidRDefault="00482374" w:rsidP="00482374">
      <w:pPr>
        <w:ind w:firstLineChars="100" w:firstLine="280"/>
        <w:rPr>
          <w:rFonts w:ascii="Times New Roman" w:eastAsia="方正楷体简体" w:hAnsi="Times New Roman" w:cs="Times New Roman"/>
          <w:sz w:val="28"/>
          <w:szCs w:val="28"/>
        </w:rPr>
      </w:pPr>
      <w:r w:rsidRPr="000A4B9F">
        <w:rPr>
          <w:rFonts w:ascii="Times New Roman" w:eastAsia="方正楷体简体" w:hAnsi="Times New Roman" w:cs="Times New Roman"/>
          <w:sz w:val="28"/>
          <w:szCs w:val="28"/>
        </w:rPr>
        <w:t>Note</w:t>
      </w:r>
      <w:r w:rsidRPr="000A4B9F">
        <w:rPr>
          <w:rFonts w:ascii="Times New Roman" w:eastAsia="方正楷体简体" w:hAnsi="Times New Roman" w:cs="Times New Roman"/>
          <w:sz w:val="28"/>
          <w:szCs w:val="28"/>
        </w:rPr>
        <w:t>：</w:t>
      </w:r>
      <w:r w:rsidR="007C5426">
        <w:rPr>
          <w:rFonts w:ascii="Times New Roman" w:eastAsia="方正楷体简体" w:hAnsi="Times New Roman" w:cs="Times New Roman"/>
          <w:sz w:val="28"/>
          <w:szCs w:val="28"/>
        </w:rPr>
        <w:t>W</w:t>
      </w:r>
      <w:r w:rsidRPr="000A4B9F">
        <w:rPr>
          <w:rFonts w:ascii="Times New Roman" w:eastAsia="方正楷体简体" w:hAnsi="Times New Roman" w:cs="Times New Roman"/>
          <w:sz w:val="28"/>
          <w:szCs w:val="28"/>
        </w:rPr>
        <w:t>ords with double strikethrough are deleted and those in red and bold are newly added.</w:t>
      </w:r>
    </w:p>
    <w:tbl>
      <w:tblPr>
        <w:tblStyle w:val="a3"/>
        <w:tblW w:w="14029" w:type="dxa"/>
        <w:tblLook w:val="04A0"/>
      </w:tblPr>
      <w:tblGrid>
        <w:gridCol w:w="1838"/>
        <w:gridCol w:w="5103"/>
        <w:gridCol w:w="1843"/>
        <w:gridCol w:w="5245"/>
      </w:tblGrid>
      <w:tr w:rsidR="00482374" w:rsidRPr="00F652A4" w:rsidTr="00585F30">
        <w:tc>
          <w:tcPr>
            <w:tcW w:w="6941" w:type="dxa"/>
            <w:gridSpan w:val="2"/>
            <w:shd w:val="clear" w:color="auto" w:fill="5B9BD5" w:themeFill="accent1"/>
          </w:tcPr>
          <w:p w:rsidR="00482374" w:rsidRPr="000A4B9F" w:rsidRDefault="00482374" w:rsidP="00585F30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0A4B9F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Revised Version</w:t>
            </w:r>
          </w:p>
        </w:tc>
        <w:tc>
          <w:tcPr>
            <w:tcW w:w="7088" w:type="dxa"/>
            <w:gridSpan w:val="2"/>
            <w:shd w:val="clear" w:color="auto" w:fill="5B9BD5" w:themeFill="accent1"/>
          </w:tcPr>
          <w:p w:rsidR="00482374" w:rsidRPr="000A4B9F" w:rsidRDefault="00482374" w:rsidP="0048237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0A4B9F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Current Version</w:t>
            </w:r>
            <w:r w:rsidRPr="000A4B9F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（</w:t>
            </w:r>
            <w:r w:rsidRPr="000A4B9F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effective from April 2,2023</w:t>
            </w:r>
            <w:r w:rsidRPr="000A4B9F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）</w:t>
            </w:r>
          </w:p>
        </w:tc>
      </w:tr>
      <w:tr w:rsidR="00482374" w:rsidRPr="00F652A4" w:rsidTr="00585F30">
        <w:tc>
          <w:tcPr>
            <w:tcW w:w="1838" w:type="dxa"/>
          </w:tcPr>
          <w:p w:rsidR="00482374" w:rsidRPr="000A4B9F" w:rsidRDefault="00482374" w:rsidP="00585F3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A4B9F">
              <w:rPr>
                <w:rFonts w:ascii="Times New Roman" w:eastAsia="黑体" w:hAnsi="Times New Roman" w:cs="Times New Roman"/>
                <w:sz w:val="28"/>
                <w:szCs w:val="28"/>
              </w:rPr>
              <w:t>Grade and Quality Specifications</w:t>
            </w:r>
          </w:p>
        </w:tc>
        <w:tc>
          <w:tcPr>
            <w:tcW w:w="5103" w:type="dxa"/>
          </w:tcPr>
          <w:p w:rsidR="00482374" w:rsidRPr="000A4B9F" w:rsidRDefault="00482374" w:rsidP="000A4B9F">
            <w:pPr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482374">
              <w:rPr>
                <w:rFonts w:ascii="Standard: Pb99.994 lead ingots" w:eastAsia="方正仿宋简体" w:hAnsi="Standard: Pb99.994 lead ingots"/>
                <w:sz w:val="28"/>
                <w:szCs w:val="28"/>
              </w:rPr>
              <w:t xml:space="preserve">Standard: Pb99.994 lead ingots as prescribed in National Standard </w:t>
            </w:r>
            <w:r w:rsidRPr="000A4B9F">
              <w:rPr>
                <w:rFonts w:ascii="Standard: Pb99.994 lead ingots" w:eastAsia="方正仿宋简体" w:hAnsi="Standard: Pb99.994 lead ingots"/>
                <w:dstrike/>
                <w:sz w:val="28"/>
                <w:szCs w:val="28"/>
              </w:rPr>
              <w:t xml:space="preserve">GB/T </w:t>
            </w:r>
            <w:r w:rsidR="00BE6E40">
              <w:rPr>
                <w:rFonts w:ascii="Standard: Pb99.994 lead ingots" w:eastAsia="方正仿宋简体" w:hAnsi="Standard: Pb99.994 lead ingots"/>
                <w:dstrike/>
                <w:sz w:val="28"/>
                <w:szCs w:val="28"/>
              </w:rPr>
              <w:t>469</w:t>
            </w:r>
            <w:r w:rsidRPr="000A4B9F">
              <w:rPr>
                <w:rFonts w:ascii="Standard: Pb99.994 lead ingots" w:eastAsia="方正仿宋简体" w:hAnsi="Standard: Pb99.994 lead ingots"/>
                <w:dstrike/>
                <w:sz w:val="28"/>
                <w:szCs w:val="28"/>
              </w:rPr>
              <w:t>-2013</w:t>
            </w:r>
            <w:r w:rsidR="000A4B9F" w:rsidRPr="000A4B9F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A4B9F" w:rsidRPr="00F652A4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 xml:space="preserve">GB/T </w:t>
            </w:r>
            <w:r w:rsidR="00BE6E40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469</w:t>
            </w:r>
            <w:r w:rsidR="000A4B9F" w:rsidRPr="00F652A4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-2023</w:t>
            </w:r>
            <w:r w:rsidR="000A4B9F"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 xml:space="preserve"> Pb99.994</w:t>
            </w:r>
            <w:r w:rsidR="000A4B9F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7A6052" w:rsidRPr="007A6052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or Pb99.996 lead ingots as prescribed in National Standard GB/T 469-2023</w:t>
            </w:r>
            <w:r w:rsidRPr="000A4B9F">
              <w:rPr>
                <w:rFonts w:ascii="Standard: Pb99.994 lead ingots" w:eastAsia="方正仿宋简体" w:hAnsi="Standard: Pb99.994 lead ingots"/>
                <w:dstrike/>
                <w:sz w:val="28"/>
                <w:szCs w:val="28"/>
              </w:rPr>
              <w:t>with lead content not less than 99.994%</w:t>
            </w:r>
          </w:p>
        </w:tc>
        <w:tc>
          <w:tcPr>
            <w:tcW w:w="1843" w:type="dxa"/>
          </w:tcPr>
          <w:p w:rsidR="00482374" w:rsidRPr="00F652A4" w:rsidRDefault="000A4B9F" w:rsidP="00585F30">
            <w:pPr>
              <w:spacing w:line="56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0A4B9F">
              <w:rPr>
                <w:rFonts w:ascii="Times New Roman" w:eastAsia="黑体" w:hAnsi="Times New Roman" w:cs="Times New Roman"/>
                <w:sz w:val="28"/>
                <w:szCs w:val="28"/>
              </w:rPr>
              <w:t>Grade and Quality Specifications</w:t>
            </w:r>
          </w:p>
        </w:tc>
        <w:tc>
          <w:tcPr>
            <w:tcW w:w="5245" w:type="dxa"/>
          </w:tcPr>
          <w:p w:rsidR="00482374" w:rsidRPr="00482374" w:rsidRDefault="00482374" w:rsidP="00585F30">
            <w:pPr>
              <w:spacing w:line="560" w:lineRule="exact"/>
              <w:rPr>
                <w:rFonts w:ascii="Standard: Pb99.994 lead ingots" w:eastAsia="方正仿宋简体" w:hAnsi="Standard: Pb99.994 lead ingots" w:hint="eastAsia"/>
                <w:sz w:val="28"/>
                <w:szCs w:val="28"/>
              </w:rPr>
            </w:pPr>
            <w:r w:rsidRPr="00482374">
              <w:rPr>
                <w:rFonts w:ascii="Standard: Pb99.994 lead ingots" w:eastAsia="方正仿宋简体" w:hAnsi="Standard: Pb99.994 lead ingots"/>
                <w:sz w:val="28"/>
                <w:szCs w:val="28"/>
              </w:rPr>
              <w:t xml:space="preserve">Standard: Pb99.994 lead ingots as prescribed in National Standard GB/T </w:t>
            </w:r>
            <w:r w:rsidR="00BE6E40">
              <w:rPr>
                <w:rFonts w:ascii="Standard: Pb99.994 lead ingots" w:eastAsia="方正仿宋简体" w:hAnsi="Standard: Pb99.994 lead ingots"/>
                <w:sz w:val="28"/>
                <w:szCs w:val="28"/>
              </w:rPr>
              <w:t>469</w:t>
            </w:r>
            <w:r w:rsidRPr="00482374">
              <w:rPr>
                <w:rFonts w:ascii="Standard: Pb99.994 lead ingots" w:eastAsia="方正仿宋简体" w:hAnsi="Standard: Pb99.994 lead ingots"/>
                <w:sz w:val="28"/>
                <w:szCs w:val="28"/>
              </w:rPr>
              <w:t>-2013</w:t>
            </w:r>
            <w:r w:rsidR="000A4B9F">
              <w:t xml:space="preserve">  </w:t>
            </w:r>
            <w:r w:rsidR="000A4B9F" w:rsidRPr="000A4B9F">
              <w:rPr>
                <w:rFonts w:ascii="Standard: Pb99.994 lead ingots" w:eastAsia="方正仿宋简体" w:hAnsi="Standard: Pb99.994 lead ingots"/>
                <w:sz w:val="28"/>
                <w:szCs w:val="28"/>
              </w:rPr>
              <w:t>Pb99.994</w:t>
            </w:r>
            <w:r w:rsidRPr="00482374">
              <w:rPr>
                <w:rFonts w:ascii="Standard: Pb99.994 lead ingots" w:eastAsia="方正仿宋简体" w:hAnsi="Standard: Pb99.994 lead ingots"/>
                <w:sz w:val="28"/>
                <w:szCs w:val="28"/>
              </w:rPr>
              <w:t>, with lead content not less than 99.994%</w:t>
            </w:r>
          </w:p>
        </w:tc>
      </w:tr>
      <w:tr w:rsidR="00482374" w:rsidRPr="00F652A4" w:rsidTr="00585F30">
        <w:tc>
          <w:tcPr>
            <w:tcW w:w="14029" w:type="dxa"/>
            <w:gridSpan w:val="4"/>
          </w:tcPr>
          <w:p w:rsidR="00482374" w:rsidRPr="00C10C14" w:rsidRDefault="000A4B9F" w:rsidP="00585F30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C10C14">
              <w:rPr>
                <w:rFonts w:ascii="Times New Roman" w:eastAsia="方正楷体简体" w:hAnsi="Times New Roman" w:cs="Times New Roman"/>
                <w:b/>
                <w:sz w:val="36"/>
                <w:szCs w:val="28"/>
              </w:rPr>
              <w:t>Appendix</w:t>
            </w:r>
            <w:r w:rsidR="00C10C14" w:rsidRPr="00C10C14">
              <w:rPr>
                <w:rFonts w:ascii="Times New Roman" w:eastAsia="方正楷体简体" w:hAnsi="Times New Roman" w:cs="Times New Roman"/>
                <w:b/>
                <w:sz w:val="36"/>
                <w:szCs w:val="28"/>
              </w:rPr>
              <w:t xml:space="preserve"> to Lead Futures Contract Specifications</w:t>
            </w:r>
          </w:p>
        </w:tc>
      </w:tr>
      <w:tr w:rsidR="00482374" w:rsidRPr="00F652A4" w:rsidTr="00585F30">
        <w:tc>
          <w:tcPr>
            <w:tcW w:w="6941" w:type="dxa"/>
            <w:gridSpan w:val="2"/>
          </w:tcPr>
          <w:p w:rsidR="00C10C14" w:rsidRPr="00C10C14" w:rsidRDefault="00C10C14" w:rsidP="00C10C14">
            <w:pPr>
              <w:spacing w:line="560" w:lineRule="exact"/>
              <w:ind w:firstLineChars="200" w:firstLine="562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C10C1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II.</w:t>
            </w:r>
            <w:r w:rsidRPr="00C10C1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ab/>
              <w:t>Quality Standards</w:t>
            </w:r>
          </w:p>
          <w:p w:rsidR="00482374" w:rsidRPr="00C10C14" w:rsidRDefault="00C10C14" w:rsidP="00C10C14">
            <w:pPr>
              <w:spacing w:line="560" w:lineRule="exact"/>
              <w:ind w:firstLineChars="200" w:firstLine="56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10C14">
              <w:rPr>
                <w:rFonts w:ascii="Times New Roman" w:eastAsia="方正仿宋简体" w:hAnsi="Times New Roman" w:cs="Times New Roman"/>
                <w:sz w:val="28"/>
                <w:szCs w:val="28"/>
              </w:rPr>
              <w:t>1.</w:t>
            </w:r>
            <w:r w:rsidRPr="00C10C14">
              <w:rPr>
                <w:rFonts w:ascii="Times New Roman" w:eastAsia="方正仿宋简体" w:hAnsi="Times New Roman" w:cs="Times New Roman"/>
                <w:sz w:val="28"/>
                <w:szCs w:val="28"/>
              </w:rPr>
              <w:tab/>
              <w:t>Lead ingots used for physical delivery shall conform to the specifications of National Standa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rd</w:t>
            </w:r>
            <w:r w:rsidRPr="00482374">
              <w:rPr>
                <w:rFonts w:ascii="Standard: Pb99.994 lead ingots" w:eastAsia="方正仿宋简体" w:hAnsi="Standard: Pb99.994 lead ingots"/>
                <w:sz w:val="28"/>
                <w:szCs w:val="28"/>
              </w:rPr>
              <w:t xml:space="preserve"> </w:t>
            </w:r>
            <w:r w:rsidRPr="000A4B9F">
              <w:rPr>
                <w:rFonts w:ascii="Standard: Pb99.994 lead ingots" w:eastAsia="方正仿宋简体" w:hAnsi="Standard: Pb99.994 lead ingots"/>
                <w:dstrike/>
                <w:sz w:val="28"/>
                <w:szCs w:val="28"/>
              </w:rPr>
              <w:t xml:space="preserve">GB/T </w:t>
            </w:r>
            <w:r>
              <w:rPr>
                <w:rFonts w:ascii="Standard: Pb99.994 lead ingots" w:eastAsia="方正仿宋简体" w:hAnsi="Standard: Pb99.994 lead ingots"/>
                <w:dstrike/>
                <w:sz w:val="28"/>
                <w:szCs w:val="28"/>
              </w:rPr>
              <w:lastRenderedPageBreak/>
              <w:t>469</w:t>
            </w:r>
            <w:r w:rsidRPr="000A4B9F">
              <w:rPr>
                <w:rFonts w:ascii="Standard: Pb99.994 lead ingots" w:eastAsia="方正仿宋简体" w:hAnsi="Standard: Pb99.994 lead ingots"/>
                <w:dstrike/>
                <w:sz w:val="28"/>
                <w:szCs w:val="28"/>
              </w:rPr>
              <w:t>-2013</w:t>
            </w:r>
            <w:r w:rsidRPr="000A4B9F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652A4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 xml:space="preserve">GB/T </w:t>
            </w:r>
            <w:r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469</w:t>
            </w:r>
            <w:r w:rsidRPr="00F652A4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-2023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 xml:space="preserve"> Pb99.994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, </w:t>
            </w:r>
            <w:r w:rsidRPr="00C10C14">
              <w:rPr>
                <w:rFonts w:ascii="Times New Roman" w:eastAsia="方正仿宋简体" w:hAnsi="Times New Roman" w:cs="Times New Roman"/>
                <w:b/>
                <w:color w:val="FF0000"/>
                <w:sz w:val="28"/>
                <w:szCs w:val="28"/>
              </w:rPr>
              <w:t xml:space="preserve">or Pb99.996 lead ingots as prescribed in National Standard GB/T 469-2023 </w:t>
            </w:r>
            <w:r w:rsidRPr="00C10C14">
              <w:rPr>
                <w:rFonts w:ascii="Times New Roman" w:eastAsia="方正仿宋简体" w:hAnsi="Times New Roman" w:cs="Times New Roman"/>
                <w:dstrike/>
                <w:sz w:val="28"/>
                <w:szCs w:val="28"/>
              </w:rPr>
              <w:t>with lead content being no less than 99.994%</w:t>
            </w:r>
            <w:r w:rsidRPr="00C10C14">
              <w:rPr>
                <w:rFonts w:ascii="Times New Roman" w:eastAsia="方正仿宋简体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gridSpan w:val="2"/>
          </w:tcPr>
          <w:p w:rsidR="00C10C14" w:rsidRPr="00C10C14" w:rsidRDefault="00C10C14" w:rsidP="00C10C14">
            <w:pPr>
              <w:spacing w:line="560" w:lineRule="exact"/>
              <w:ind w:firstLineChars="200" w:firstLine="562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lastRenderedPageBreak/>
              <w:t>II.</w:t>
            </w:r>
            <w:r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ab/>
              <w:t>Quality Standards</w:t>
            </w:r>
          </w:p>
          <w:p w:rsidR="00482374" w:rsidRPr="00C10C14" w:rsidRDefault="00C10C14" w:rsidP="00C10C14">
            <w:pPr>
              <w:spacing w:line="560" w:lineRule="exact"/>
              <w:ind w:firstLineChars="200" w:firstLine="56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10C14">
              <w:rPr>
                <w:rFonts w:ascii="Times New Roman" w:eastAsia="宋体" w:hAnsi="Times New Roman" w:cs="Times New Roman"/>
                <w:sz w:val="28"/>
                <w:szCs w:val="28"/>
              </w:rPr>
              <w:t>1. Lead ingots used for physical delivery shall conform to the specifications of National Standard GB/T 469-20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Pr="00C10C1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 </w:t>
            </w:r>
            <w:r w:rsidRPr="00C10C14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for Pb99.994, with lead content being no less than 99.994%.</w:t>
            </w:r>
          </w:p>
        </w:tc>
      </w:tr>
    </w:tbl>
    <w:p w:rsidR="00350826" w:rsidRDefault="00350826" w:rsidP="0016777D">
      <w:pPr>
        <w:jc w:val="right"/>
      </w:pPr>
    </w:p>
    <w:p w:rsidR="000A4B9F" w:rsidRDefault="000A4B9F" w:rsidP="0016777D">
      <w:pPr>
        <w:jc w:val="right"/>
      </w:pPr>
    </w:p>
    <w:p w:rsidR="000A4B9F" w:rsidRDefault="000A4B9F" w:rsidP="0016777D">
      <w:pPr>
        <w:jc w:val="right"/>
      </w:pPr>
    </w:p>
    <w:p w:rsidR="00C10C14" w:rsidRDefault="00C10C14" w:rsidP="0016777D">
      <w:pPr>
        <w:jc w:val="right"/>
      </w:pPr>
    </w:p>
    <w:p w:rsidR="00C10C14" w:rsidRDefault="00C10C14" w:rsidP="0016777D">
      <w:pPr>
        <w:jc w:val="right"/>
      </w:pPr>
    </w:p>
    <w:p w:rsidR="00C10C14" w:rsidRDefault="00C10C14" w:rsidP="0016777D">
      <w:pPr>
        <w:jc w:val="right"/>
      </w:pPr>
    </w:p>
    <w:p w:rsidR="00C10C14" w:rsidRDefault="00C10C14" w:rsidP="0016777D">
      <w:pPr>
        <w:jc w:val="right"/>
      </w:pPr>
    </w:p>
    <w:p w:rsidR="00C10C14" w:rsidRDefault="00C10C14" w:rsidP="0016777D">
      <w:pPr>
        <w:jc w:val="right"/>
      </w:pPr>
    </w:p>
    <w:p w:rsidR="00C10C14" w:rsidRDefault="00C10C14" w:rsidP="0016777D">
      <w:pPr>
        <w:jc w:val="right"/>
      </w:pPr>
    </w:p>
    <w:p w:rsidR="00C10C14" w:rsidRDefault="00C10C14" w:rsidP="0016777D">
      <w:pPr>
        <w:jc w:val="right"/>
      </w:pPr>
    </w:p>
    <w:p w:rsidR="00C10C14" w:rsidRDefault="00C10C14" w:rsidP="0016777D">
      <w:pPr>
        <w:jc w:val="right"/>
      </w:pPr>
    </w:p>
    <w:p w:rsidR="00C10C14" w:rsidRDefault="00C10C14" w:rsidP="0016777D">
      <w:pPr>
        <w:jc w:val="right"/>
      </w:pPr>
    </w:p>
    <w:p w:rsidR="00C10C14" w:rsidRDefault="00C10C14" w:rsidP="0016777D">
      <w:pPr>
        <w:jc w:val="right"/>
      </w:pPr>
    </w:p>
    <w:p w:rsidR="00C10C14" w:rsidRDefault="00C10C14" w:rsidP="0016777D">
      <w:pPr>
        <w:jc w:val="right"/>
      </w:pPr>
    </w:p>
    <w:p w:rsidR="00C10C14" w:rsidRDefault="00C10C14" w:rsidP="0016777D">
      <w:pPr>
        <w:jc w:val="right"/>
      </w:pPr>
    </w:p>
    <w:p w:rsidR="00C10C14" w:rsidRDefault="00C10C14" w:rsidP="0016777D">
      <w:pPr>
        <w:jc w:val="right"/>
      </w:pPr>
    </w:p>
    <w:p w:rsidR="00C10C14" w:rsidRDefault="00C10C14" w:rsidP="0016777D">
      <w:pPr>
        <w:jc w:val="right"/>
      </w:pPr>
    </w:p>
    <w:p w:rsidR="00C10C14" w:rsidRDefault="00C10C14" w:rsidP="0016777D">
      <w:pPr>
        <w:jc w:val="right"/>
      </w:pPr>
    </w:p>
    <w:p w:rsidR="00C10C14" w:rsidRDefault="00C10C14" w:rsidP="0016777D">
      <w:pPr>
        <w:jc w:val="right"/>
      </w:pPr>
    </w:p>
    <w:p w:rsidR="000A4B9F" w:rsidRDefault="000A4B9F" w:rsidP="0016777D">
      <w:pPr>
        <w:jc w:val="right"/>
      </w:pPr>
    </w:p>
    <w:p w:rsidR="000A4B9F" w:rsidRDefault="000A4B9F" w:rsidP="0016777D">
      <w:pPr>
        <w:jc w:val="right"/>
      </w:pPr>
    </w:p>
    <w:p w:rsidR="000A4B9F" w:rsidRDefault="000A4B9F" w:rsidP="0016777D">
      <w:pPr>
        <w:jc w:val="right"/>
      </w:pPr>
    </w:p>
    <w:p w:rsidR="000A4B9F" w:rsidRDefault="000A4B9F" w:rsidP="000A4B9F">
      <w:pPr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  <w:r w:rsidRPr="000A4B9F">
        <w:rPr>
          <w:rFonts w:ascii="Times New Roman" w:eastAsia="方正大标宋简体" w:hAnsi="Times New Roman" w:cs="Times New Roman"/>
          <w:b/>
          <w:sz w:val="42"/>
          <w:szCs w:val="42"/>
        </w:rPr>
        <w:t>Delivery Rules of the Shanghai Futures Exchange</w:t>
      </w:r>
    </w:p>
    <w:p w:rsidR="000A4B9F" w:rsidRPr="000A4B9F" w:rsidRDefault="000A4B9F" w:rsidP="000A4B9F">
      <w:pPr>
        <w:ind w:firstLineChars="100" w:firstLine="280"/>
        <w:rPr>
          <w:rFonts w:ascii="Times New Roman" w:eastAsia="方正楷体简体" w:hAnsi="Times New Roman" w:cs="Times New Roman"/>
          <w:sz w:val="28"/>
          <w:szCs w:val="28"/>
        </w:rPr>
      </w:pPr>
      <w:r w:rsidRPr="000A4B9F">
        <w:rPr>
          <w:rFonts w:ascii="Times New Roman" w:eastAsia="方正楷体简体" w:hAnsi="Times New Roman" w:cs="Times New Roman"/>
          <w:sz w:val="28"/>
          <w:szCs w:val="28"/>
        </w:rPr>
        <w:t>Note</w:t>
      </w:r>
      <w:r w:rsidRPr="000A4B9F">
        <w:rPr>
          <w:rFonts w:ascii="Times New Roman" w:eastAsia="方正楷体简体" w:hAnsi="Times New Roman" w:cs="Times New Roman"/>
          <w:sz w:val="28"/>
          <w:szCs w:val="28"/>
        </w:rPr>
        <w:t>：</w:t>
      </w:r>
      <w:r w:rsidRPr="000A4B9F">
        <w:rPr>
          <w:rFonts w:ascii="Times New Roman" w:eastAsia="方正楷体简体" w:hAnsi="Times New Roman" w:cs="Times New Roman"/>
          <w:sz w:val="28"/>
          <w:szCs w:val="28"/>
        </w:rPr>
        <w:t>words with double strikethrough are deleted and those in red and bold are newly added.</w:t>
      </w:r>
    </w:p>
    <w:tbl>
      <w:tblPr>
        <w:tblStyle w:val="a3"/>
        <w:tblW w:w="14029" w:type="dxa"/>
        <w:tblLook w:val="04A0"/>
      </w:tblPr>
      <w:tblGrid>
        <w:gridCol w:w="6941"/>
        <w:gridCol w:w="7088"/>
      </w:tblGrid>
      <w:tr w:rsidR="000A4B9F" w:rsidRPr="00F652A4" w:rsidTr="00585F30">
        <w:tc>
          <w:tcPr>
            <w:tcW w:w="6941" w:type="dxa"/>
            <w:shd w:val="clear" w:color="auto" w:fill="5B9BD5" w:themeFill="accent1"/>
          </w:tcPr>
          <w:p w:rsidR="000A4B9F" w:rsidRPr="00F652A4" w:rsidRDefault="000A4B9F" w:rsidP="00585F30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8"/>
              </w:rPr>
            </w:pPr>
            <w:r w:rsidRPr="000A4B9F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Revised Version</w:t>
            </w:r>
          </w:p>
        </w:tc>
        <w:tc>
          <w:tcPr>
            <w:tcW w:w="7088" w:type="dxa"/>
            <w:shd w:val="clear" w:color="auto" w:fill="5B9BD5" w:themeFill="accent1"/>
          </w:tcPr>
          <w:p w:rsidR="000A4B9F" w:rsidRPr="00F652A4" w:rsidRDefault="000A4B9F" w:rsidP="000A4B9F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8"/>
              </w:rPr>
            </w:pPr>
            <w:r w:rsidRPr="000A4B9F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Current Version</w:t>
            </w:r>
            <w:r w:rsidRPr="000A4B9F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（</w:t>
            </w:r>
            <w:r w:rsidRPr="000A4B9F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effective from </w:t>
            </w:r>
            <w:r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October 18</w:t>
            </w:r>
            <w:r w:rsidRPr="000A4B9F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,2023</w:t>
            </w:r>
            <w:r w:rsidRPr="000A4B9F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）</w:t>
            </w:r>
          </w:p>
        </w:tc>
      </w:tr>
      <w:tr w:rsidR="000A4B9F" w:rsidRPr="00F652A4" w:rsidTr="00585F30">
        <w:tc>
          <w:tcPr>
            <w:tcW w:w="6941" w:type="dxa"/>
          </w:tcPr>
          <w:p w:rsidR="000A4B9F" w:rsidRPr="000A4B9F" w:rsidRDefault="000A4B9F" w:rsidP="00DC2462">
            <w:pPr>
              <w:tabs>
                <w:tab w:val="left" w:pos="1276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0A4B9F">
              <w:rPr>
                <w:rFonts w:ascii="Times New Roman" w:hAnsi="Times New Roman"/>
                <w:b/>
                <w:bCs/>
                <w:sz w:val="24"/>
              </w:rPr>
              <w:t>Article 43</w:t>
            </w:r>
            <w:r w:rsidRPr="000A4B9F">
              <w:rPr>
                <w:rFonts w:ascii="Times New Roman" w:hAnsi="Times New Roman"/>
                <w:sz w:val="24"/>
              </w:rPr>
              <w:tab/>
              <w:t xml:space="preserve">Packaging for deliverable commodity </w:t>
            </w:r>
          </w:p>
          <w:p w:rsidR="000A4B9F" w:rsidRPr="000A4B9F" w:rsidRDefault="000A4B9F" w:rsidP="00DC2462"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0A4B9F">
              <w:rPr>
                <w:rFonts w:ascii="Times New Roman" w:hAnsi="Times New Roman"/>
                <w:sz w:val="24"/>
              </w:rPr>
              <w:t>(i)</w:t>
            </w:r>
            <w:r w:rsidRPr="000A4B9F">
              <w:rPr>
                <w:rFonts w:ascii="Times New Roman" w:hAnsi="Times New Roman"/>
                <w:sz w:val="24"/>
              </w:rPr>
              <w:tab/>
              <w:t>Packaging: lead ingots underlying each warrant shall consist of commodity of the same manufacturer</w:t>
            </w:r>
            <w:r w:rsidRPr="000A4B9F">
              <w:rPr>
                <w:rFonts w:ascii="Times New Roman" w:hAnsi="Times New Roman" w:hint="eastAsia"/>
                <w:sz w:val="24"/>
              </w:rPr>
              <w:t>, registered</w:t>
            </w:r>
            <w:r w:rsidRPr="000A4B9F">
              <w:rPr>
                <w:rFonts w:ascii="Times New Roman" w:hAnsi="Times New Roman"/>
                <w:sz w:val="24"/>
              </w:rPr>
              <w:t xml:space="preserve"> trademark, </w:t>
            </w:r>
            <w:r w:rsidRPr="000A4B9F">
              <w:rPr>
                <w:rFonts w:ascii="Times New Roman" w:hAnsi="Times New Roman" w:hint="eastAsia"/>
                <w:sz w:val="24"/>
              </w:rPr>
              <w:t xml:space="preserve">quality </w:t>
            </w:r>
            <w:r w:rsidRPr="000A4B9F">
              <w:rPr>
                <w:rFonts w:ascii="Times New Roman" w:hAnsi="Times New Roman"/>
                <w:sz w:val="24"/>
              </w:rPr>
              <w:t>grade, shape</w:t>
            </w:r>
            <w:r w:rsidRPr="000A4B9F">
              <w:rPr>
                <w:rFonts w:ascii="Times New Roman" w:hAnsi="Times New Roman" w:hint="eastAsia"/>
                <w:sz w:val="24"/>
              </w:rPr>
              <w:t>,</w:t>
            </w:r>
            <w:r w:rsidRPr="000A4B9F">
              <w:rPr>
                <w:rFonts w:ascii="Times New Roman" w:hAnsi="Times New Roman"/>
                <w:sz w:val="24"/>
              </w:rPr>
              <w:t xml:space="preserve"> and </w:t>
            </w:r>
            <w:r w:rsidRPr="000A4B9F">
              <w:rPr>
                <w:rFonts w:ascii="Times New Roman" w:hAnsi="Times New Roman" w:hint="eastAsia"/>
                <w:sz w:val="24"/>
              </w:rPr>
              <w:t>packaged quantity (secured into bundles of similar</w:t>
            </w:r>
            <w:r w:rsidRPr="000A4B9F">
              <w:rPr>
                <w:rFonts w:ascii="Times New Roman" w:hAnsi="Times New Roman"/>
                <w:sz w:val="24"/>
              </w:rPr>
              <w:t xml:space="preserve"> weight</w:t>
            </w:r>
            <w:r w:rsidRPr="000A4B9F">
              <w:rPr>
                <w:rFonts w:ascii="Times New Roman" w:hAnsi="Times New Roman" w:hint="eastAsia"/>
                <w:sz w:val="24"/>
              </w:rPr>
              <w:t>)</w:t>
            </w:r>
            <w:r w:rsidRPr="000A4B9F">
              <w:rPr>
                <w:rFonts w:ascii="Times New Roman" w:hAnsi="Times New Roman"/>
                <w:sz w:val="24"/>
              </w:rPr>
              <w:t>. The registered producer may decide, in its sole discretion, the weight of each bundle, provided that such bundle weights can be formed into each standard warrant successfully</w:t>
            </w:r>
            <w:r w:rsidRPr="000A4B9F">
              <w:rPr>
                <w:rFonts w:ascii="Times New Roman" w:hAnsi="Times New Roman" w:hint="eastAsia"/>
                <w:sz w:val="24"/>
              </w:rPr>
              <w:t>.</w:t>
            </w:r>
            <w:r w:rsidRPr="000A4B9F">
              <w:rPr>
                <w:rFonts w:ascii="Times New Roman" w:hAnsi="Times New Roman"/>
                <w:sz w:val="24"/>
              </w:rPr>
              <w:t xml:space="preserve"> </w:t>
            </w:r>
            <w:r w:rsidRPr="000A4B9F">
              <w:rPr>
                <w:rFonts w:ascii="Times New Roman" w:hAnsi="Times New Roman" w:hint="eastAsia"/>
                <w:sz w:val="24"/>
              </w:rPr>
              <w:t>Lead ingots</w:t>
            </w:r>
            <w:r w:rsidRPr="000A4B9F">
              <w:rPr>
                <w:rFonts w:ascii="Times New Roman" w:hAnsi="Times New Roman"/>
                <w:sz w:val="24"/>
              </w:rPr>
              <w:t xml:space="preserve"> shall be tightened into bundles with rust-resistant straps of proper strength as separately </w:t>
            </w:r>
            <w:r w:rsidRPr="000A4B9F">
              <w:rPr>
                <w:rFonts w:ascii="Times New Roman" w:hAnsi="Times New Roman" w:hint="eastAsia"/>
                <w:sz w:val="24"/>
              </w:rPr>
              <w:t>announced</w:t>
            </w:r>
            <w:r w:rsidRPr="000A4B9F">
              <w:rPr>
                <w:rFonts w:ascii="Times New Roman" w:hAnsi="Times New Roman"/>
                <w:sz w:val="24"/>
              </w:rPr>
              <w:t xml:space="preserve"> by the Exchange. The strapping shall be reliable and each bundle shall be marked by a prominent and secure product label, </w:t>
            </w:r>
            <w:r w:rsidRPr="000A4B9F">
              <w:rPr>
                <w:rFonts w:ascii="Times New Roman" w:hAnsi="Times New Roman" w:hint="eastAsia"/>
                <w:sz w:val="24"/>
              </w:rPr>
              <w:t>specifying manufacturer name</w:t>
            </w:r>
            <w:r w:rsidRPr="000A4B9F">
              <w:rPr>
                <w:rFonts w:ascii="Times New Roman" w:hAnsi="Times New Roman"/>
                <w:sz w:val="24"/>
              </w:rPr>
              <w:t xml:space="preserve">, product name, </w:t>
            </w:r>
            <w:r w:rsidRPr="000A4B9F">
              <w:rPr>
                <w:rFonts w:ascii="Times New Roman" w:hAnsi="Times New Roman" w:hint="eastAsia"/>
                <w:sz w:val="24"/>
              </w:rPr>
              <w:t>designation</w:t>
            </w:r>
            <w:r w:rsidRPr="000A4B9F">
              <w:rPr>
                <w:rFonts w:ascii="Times New Roman" w:hAnsi="Times New Roman"/>
                <w:sz w:val="24"/>
              </w:rPr>
              <w:t xml:space="preserve">, </w:t>
            </w:r>
            <w:r w:rsidRPr="000A4B9F">
              <w:rPr>
                <w:rFonts w:ascii="Times New Roman" w:hAnsi="Times New Roman" w:hint="eastAsia"/>
                <w:sz w:val="24"/>
              </w:rPr>
              <w:t>batch</w:t>
            </w:r>
            <w:r w:rsidRPr="000A4B9F">
              <w:rPr>
                <w:rFonts w:ascii="Times New Roman" w:hAnsi="Times New Roman"/>
                <w:sz w:val="24"/>
              </w:rPr>
              <w:t xml:space="preserve"> number, net weight</w:t>
            </w:r>
            <w:r w:rsidRPr="000A4B9F">
              <w:rPr>
                <w:rFonts w:ascii="Times New Roman" w:hAnsi="Times New Roman" w:hint="eastAsia"/>
                <w:sz w:val="24"/>
              </w:rPr>
              <w:t>,</w:t>
            </w:r>
            <w:r w:rsidRPr="000A4B9F">
              <w:rPr>
                <w:rFonts w:ascii="Times New Roman" w:hAnsi="Times New Roman"/>
                <w:sz w:val="24"/>
              </w:rPr>
              <w:t xml:space="preserve"> and date of production. </w:t>
            </w:r>
          </w:p>
          <w:p w:rsidR="000A4B9F" w:rsidRPr="000A4B9F" w:rsidRDefault="000A4B9F" w:rsidP="00DC2462"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0A4B9F">
              <w:rPr>
                <w:rFonts w:ascii="Times New Roman" w:hAnsi="Times New Roman"/>
                <w:sz w:val="24"/>
              </w:rPr>
              <w:t>(ii)</w:t>
            </w:r>
            <w:r w:rsidRPr="000A4B9F">
              <w:rPr>
                <w:rFonts w:ascii="Times New Roman" w:hAnsi="Times New Roman"/>
                <w:sz w:val="24"/>
              </w:rPr>
              <w:tab/>
              <w:t xml:space="preserve">If the </w:t>
            </w:r>
            <w:r w:rsidRPr="000A4B9F">
              <w:rPr>
                <w:rFonts w:ascii="Times New Roman" w:hAnsi="Times New Roman" w:hint="eastAsia"/>
                <w:sz w:val="24"/>
              </w:rPr>
              <w:t xml:space="preserve">commodities </w:t>
            </w:r>
            <w:r w:rsidRPr="000A4B9F">
              <w:rPr>
                <w:rFonts w:ascii="Times New Roman" w:hAnsi="Times New Roman"/>
                <w:sz w:val="24"/>
              </w:rPr>
              <w:t xml:space="preserve">arrive at </w:t>
            </w:r>
            <w:r w:rsidRPr="000A4B9F">
              <w:rPr>
                <w:rFonts w:ascii="Times New Roman" w:hAnsi="Times New Roman" w:hint="eastAsia"/>
                <w:sz w:val="24"/>
              </w:rPr>
              <w:t xml:space="preserve">the </w:t>
            </w:r>
            <w:r w:rsidRPr="000A4B9F">
              <w:rPr>
                <w:rFonts w:ascii="Times New Roman" w:hAnsi="Times New Roman"/>
                <w:sz w:val="24"/>
              </w:rPr>
              <w:t xml:space="preserve">designated delivery </w:t>
            </w:r>
            <w:r w:rsidRPr="000A4B9F">
              <w:rPr>
                <w:rFonts w:ascii="Times New Roman" w:hAnsi="Times New Roman"/>
                <w:sz w:val="24"/>
              </w:rPr>
              <w:lastRenderedPageBreak/>
              <w:t xml:space="preserve">warehouse with broken straps or loose </w:t>
            </w:r>
            <w:r w:rsidRPr="000A4B9F">
              <w:rPr>
                <w:rFonts w:ascii="Times New Roman" w:hAnsi="Times New Roman" w:hint="eastAsia"/>
                <w:sz w:val="24"/>
              </w:rPr>
              <w:t>ingots</w:t>
            </w:r>
            <w:r w:rsidRPr="000A4B9F">
              <w:rPr>
                <w:rFonts w:ascii="Times New Roman" w:hAnsi="Times New Roman"/>
                <w:sz w:val="24"/>
              </w:rPr>
              <w:t>, the</w:t>
            </w:r>
            <w:r w:rsidRPr="000A4B9F">
              <w:rPr>
                <w:rFonts w:ascii="Times New Roman" w:hAnsi="Times New Roman" w:hint="eastAsia"/>
                <w:sz w:val="24"/>
              </w:rPr>
              <w:t xml:space="preserve"> commodities</w:t>
            </w:r>
            <w:r w:rsidRPr="000A4B9F">
              <w:rPr>
                <w:rFonts w:ascii="Times New Roman" w:hAnsi="Times New Roman"/>
                <w:sz w:val="24"/>
              </w:rPr>
              <w:t xml:space="preserve"> shall be repackaged and securely tightened with specified straps before they are delivered. Any costs incurred in the reassembly shall be borne by the owner. </w:t>
            </w:r>
          </w:p>
          <w:p w:rsidR="000A4B9F" w:rsidRPr="000A4B9F" w:rsidRDefault="000A4B9F" w:rsidP="00DC2462"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0A4B9F">
              <w:rPr>
                <w:rFonts w:ascii="Times New Roman" w:hAnsi="Times New Roman"/>
                <w:sz w:val="24"/>
              </w:rPr>
              <w:t>(iii)</w:t>
            </w:r>
            <w:r w:rsidRPr="000A4B9F">
              <w:rPr>
                <w:rFonts w:ascii="Times New Roman" w:hAnsi="Times New Roman"/>
                <w:sz w:val="24"/>
              </w:rPr>
              <w:tab/>
              <w:t xml:space="preserve">Each </w:t>
            </w:r>
            <w:r w:rsidRPr="000A4B9F">
              <w:rPr>
                <w:rFonts w:ascii="Times New Roman" w:hAnsi="Times New Roman" w:hint="eastAsia"/>
                <w:sz w:val="24"/>
              </w:rPr>
              <w:t xml:space="preserve">domestically produced lead </w:t>
            </w:r>
            <w:r w:rsidRPr="000A4B9F">
              <w:rPr>
                <w:rFonts w:ascii="Times New Roman" w:hAnsi="Times New Roman"/>
                <w:sz w:val="24"/>
              </w:rPr>
              <w:t>ingot</w:t>
            </w:r>
            <w:r w:rsidRPr="000A4B9F">
              <w:rPr>
                <w:rFonts w:ascii="Times New Roman" w:hAnsi="Times New Roman" w:hint="eastAsia"/>
                <w:sz w:val="24"/>
              </w:rPr>
              <w:t xml:space="preserve"> shall</w:t>
            </w:r>
            <w:r w:rsidRPr="000A4B9F">
              <w:rPr>
                <w:rFonts w:ascii="Times New Roman" w:hAnsi="Times New Roman"/>
                <w:sz w:val="24"/>
              </w:rPr>
              <w:t xml:space="preserve"> weigh forty-eight (48) kilograms plus or minus three (±3) kilograms, forty-two (42) kilograms plus or minus two (±2) kilograms, </w:t>
            </w:r>
            <w:r w:rsidRPr="000A4B9F">
              <w:rPr>
                <w:rFonts w:ascii="Times New Roman" w:hAnsi="Times New Roman"/>
                <w:dstrike/>
                <w:sz w:val="24"/>
              </w:rPr>
              <w:t xml:space="preserve">forty (40) kilograms plus or minus two (±2) kilograms, </w:t>
            </w:r>
            <w:r w:rsidRPr="000A4B9F">
              <w:rPr>
                <w:rFonts w:ascii="Times New Roman" w:hAnsi="Times New Roman"/>
                <w:sz w:val="24"/>
              </w:rPr>
              <w:t xml:space="preserve">or twenty-four (24) kilograms plus or minus one (±1) kilogram. </w:t>
            </w:r>
          </w:p>
        </w:tc>
        <w:tc>
          <w:tcPr>
            <w:tcW w:w="7088" w:type="dxa"/>
          </w:tcPr>
          <w:p w:rsidR="000A4B9F" w:rsidRPr="000A4B9F" w:rsidRDefault="000A4B9F" w:rsidP="00DC2462">
            <w:pPr>
              <w:tabs>
                <w:tab w:val="left" w:pos="1276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0A4B9F">
              <w:rPr>
                <w:rFonts w:ascii="Times New Roman" w:hAnsi="Times New Roman"/>
                <w:b/>
                <w:bCs/>
                <w:sz w:val="24"/>
              </w:rPr>
              <w:lastRenderedPageBreak/>
              <w:t>Article 43</w:t>
            </w:r>
            <w:r w:rsidRPr="000A4B9F">
              <w:rPr>
                <w:rFonts w:ascii="Times New Roman" w:hAnsi="Times New Roman"/>
                <w:sz w:val="24"/>
              </w:rPr>
              <w:tab/>
              <w:t xml:space="preserve">Packaging for deliverable commodity </w:t>
            </w:r>
          </w:p>
          <w:p w:rsidR="000A4B9F" w:rsidRPr="000A4B9F" w:rsidRDefault="000A4B9F" w:rsidP="00DC2462"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0A4B9F">
              <w:rPr>
                <w:rFonts w:ascii="Times New Roman" w:hAnsi="Times New Roman"/>
                <w:sz w:val="24"/>
              </w:rPr>
              <w:t>(i)</w:t>
            </w:r>
            <w:r w:rsidRPr="000A4B9F">
              <w:rPr>
                <w:rFonts w:ascii="Times New Roman" w:hAnsi="Times New Roman"/>
                <w:sz w:val="24"/>
              </w:rPr>
              <w:tab/>
              <w:t>Packaging: lead ingots underlying each warrant shall consist of commodity of the same manufacturer</w:t>
            </w:r>
            <w:r w:rsidRPr="000A4B9F">
              <w:rPr>
                <w:rFonts w:ascii="Times New Roman" w:hAnsi="Times New Roman" w:hint="eastAsia"/>
                <w:sz w:val="24"/>
              </w:rPr>
              <w:t>, registered</w:t>
            </w:r>
            <w:r w:rsidRPr="000A4B9F">
              <w:rPr>
                <w:rFonts w:ascii="Times New Roman" w:hAnsi="Times New Roman"/>
                <w:sz w:val="24"/>
              </w:rPr>
              <w:t xml:space="preserve"> trademark, </w:t>
            </w:r>
            <w:r w:rsidRPr="000A4B9F">
              <w:rPr>
                <w:rFonts w:ascii="Times New Roman" w:hAnsi="Times New Roman" w:hint="eastAsia"/>
                <w:sz w:val="24"/>
              </w:rPr>
              <w:t xml:space="preserve">quality </w:t>
            </w:r>
            <w:r w:rsidRPr="000A4B9F">
              <w:rPr>
                <w:rFonts w:ascii="Times New Roman" w:hAnsi="Times New Roman"/>
                <w:sz w:val="24"/>
              </w:rPr>
              <w:t>grade, shape</w:t>
            </w:r>
            <w:r w:rsidRPr="000A4B9F">
              <w:rPr>
                <w:rFonts w:ascii="Times New Roman" w:hAnsi="Times New Roman" w:hint="eastAsia"/>
                <w:sz w:val="24"/>
              </w:rPr>
              <w:t>,</w:t>
            </w:r>
            <w:r w:rsidRPr="000A4B9F">
              <w:rPr>
                <w:rFonts w:ascii="Times New Roman" w:hAnsi="Times New Roman"/>
                <w:sz w:val="24"/>
              </w:rPr>
              <w:t xml:space="preserve"> and </w:t>
            </w:r>
            <w:r w:rsidRPr="000A4B9F">
              <w:rPr>
                <w:rFonts w:ascii="Times New Roman" w:hAnsi="Times New Roman" w:hint="eastAsia"/>
                <w:sz w:val="24"/>
              </w:rPr>
              <w:t>packaged quantity (secured into bundles of similar</w:t>
            </w:r>
            <w:r w:rsidRPr="000A4B9F">
              <w:rPr>
                <w:rFonts w:ascii="Times New Roman" w:hAnsi="Times New Roman"/>
                <w:sz w:val="24"/>
              </w:rPr>
              <w:t xml:space="preserve"> weight</w:t>
            </w:r>
            <w:r w:rsidRPr="000A4B9F">
              <w:rPr>
                <w:rFonts w:ascii="Times New Roman" w:hAnsi="Times New Roman" w:hint="eastAsia"/>
                <w:sz w:val="24"/>
              </w:rPr>
              <w:t>)</w:t>
            </w:r>
            <w:r w:rsidRPr="000A4B9F">
              <w:rPr>
                <w:rFonts w:ascii="Times New Roman" w:hAnsi="Times New Roman"/>
                <w:sz w:val="24"/>
              </w:rPr>
              <w:t>. The registered producer may decide, in its sole discretion, the weight of each bundle, provided that such bundle weights can be formed into each standard warrant successfully</w:t>
            </w:r>
            <w:r w:rsidRPr="000A4B9F">
              <w:rPr>
                <w:rFonts w:ascii="Times New Roman" w:hAnsi="Times New Roman" w:hint="eastAsia"/>
                <w:sz w:val="24"/>
              </w:rPr>
              <w:t>.</w:t>
            </w:r>
            <w:r w:rsidRPr="000A4B9F">
              <w:rPr>
                <w:rFonts w:ascii="Times New Roman" w:hAnsi="Times New Roman"/>
                <w:sz w:val="24"/>
              </w:rPr>
              <w:t xml:space="preserve"> </w:t>
            </w:r>
            <w:r w:rsidRPr="000A4B9F">
              <w:rPr>
                <w:rFonts w:ascii="Times New Roman" w:hAnsi="Times New Roman" w:hint="eastAsia"/>
                <w:sz w:val="24"/>
              </w:rPr>
              <w:t>Lead ingots</w:t>
            </w:r>
            <w:r w:rsidRPr="000A4B9F">
              <w:rPr>
                <w:rFonts w:ascii="Times New Roman" w:hAnsi="Times New Roman"/>
                <w:sz w:val="24"/>
              </w:rPr>
              <w:t xml:space="preserve"> shall be tightened into bundles with rust-resistant straps of proper strength as separately </w:t>
            </w:r>
            <w:r w:rsidRPr="000A4B9F">
              <w:rPr>
                <w:rFonts w:ascii="Times New Roman" w:hAnsi="Times New Roman" w:hint="eastAsia"/>
                <w:sz w:val="24"/>
              </w:rPr>
              <w:t>announced</w:t>
            </w:r>
            <w:r w:rsidRPr="000A4B9F">
              <w:rPr>
                <w:rFonts w:ascii="Times New Roman" w:hAnsi="Times New Roman"/>
                <w:sz w:val="24"/>
              </w:rPr>
              <w:t xml:space="preserve"> by the Exchange. The strapping shall be reliable and each bundle shall be marked by a prominent and secure product label, </w:t>
            </w:r>
            <w:r w:rsidRPr="000A4B9F">
              <w:rPr>
                <w:rFonts w:ascii="Times New Roman" w:hAnsi="Times New Roman" w:hint="eastAsia"/>
                <w:sz w:val="24"/>
              </w:rPr>
              <w:t>specifying manufacturer name</w:t>
            </w:r>
            <w:r w:rsidRPr="000A4B9F">
              <w:rPr>
                <w:rFonts w:ascii="Times New Roman" w:hAnsi="Times New Roman"/>
                <w:sz w:val="24"/>
              </w:rPr>
              <w:t xml:space="preserve">, product name, </w:t>
            </w:r>
            <w:r w:rsidRPr="000A4B9F">
              <w:rPr>
                <w:rFonts w:ascii="Times New Roman" w:hAnsi="Times New Roman" w:hint="eastAsia"/>
                <w:sz w:val="24"/>
              </w:rPr>
              <w:t>designation</w:t>
            </w:r>
            <w:r w:rsidRPr="000A4B9F">
              <w:rPr>
                <w:rFonts w:ascii="Times New Roman" w:hAnsi="Times New Roman"/>
                <w:sz w:val="24"/>
              </w:rPr>
              <w:t xml:space="preserve">, </w:t>
            </w:r>
            <w:r w:rsidRPr="000A4B9F">
              <w:rPr>
                <w:rFonts w:ascii="Times New Roman" w:hAnsi="Times New Roman" w:hint="eastAsia"/>
                <w:sz w:val="24"/>
              </w:rPr>
              <w:t>batch</w:t>
            </w:r>
            <w:r w:rsidRPr="000A4B9F">
              <w:rPr>
                <w:rFonts w:ascii="Times New Roman" w:hAnsi="Times New Roman"/>
                <w:sz w:val="24"/>
              </w:rPr>
              <w:t xml:space="preserve"> number, net weight</w:t>
            </w:r>
            <w:r w:rsidRPr="000A4B9F">
              <w:rPr>
                <w:rFonts w:ascii="Times New Roman" w:hAnsi="Times New Roman" w:hint="eastAsia"/>
                <w:sz w:val="24"/>
              </w:rPr>
              <w:t>,</w:t>
            </w:r>
            <w:r w:rsidRPr="000A4B9F">
              <w:rPr>
                <w:rFonts w:ascii="Times New Roman" w:hAnsi="Times New Roman"/>
                <w:sz w:val="24"/>
              </w:rPr>
              <w:t xml:space="preserve"> and date of production. </w:t>
            </w:r>
          </w:p>
          <w:p w:rsidR="000A4B9F" w:rsidRPr="000A4B9F" w:rsidRDefault="000A4B9F" w:rsidP="00DC2462"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0A4B9F">
              <w:rPr>
                <w:rFonts w:ascii="Times New Roman" w:hAnsi="Times New Roman"/>
                <w:sz w:val="24"/>
              </w:rPr>
              <w:t>(ii)</w:t>
            </w:r>
            <w:r w:rsidRPr="000A4B9F">
              <w:rPr>
                <w:rFonts w:ascii="Times New Roman" w:hAnsi="Times New Roman"/>
                <w:sz w:val="24"/>
              </w:rPr>
              <w:tab/>
              <w:t xml:space="preserve">If the </w:t>
            </w:r>
            <w:r w:rsidRPr="000A4B9F">
              <w:rPr>
                <w:rFonts w:ascii="Times New Roman" w:hAnsi="Times New Roman" w:hint="eastAsia"/>
                <w:sz w:val="24"/>
              </w:rPr>
              <w:t xml:space="preserve">commodities </w:t>
            </w:r>
            <w:r w:rsidRPr="000A4B9F">
              <w:rPr>
                <w:rFonts w:ascii="Times New Roman" w:hAnsi="Times New Roman"/>
                <w:sz w:val="24"/>
              </w:rPr>
              <w:t xml:space="preserve">arrive at </w:t>
            </w:r>
            <w:r w:rsidRPr="000A4B9F">
              <w:rPr>
                <w:rFonts w:ascii="Times New Roman" w:hAnsi="Times New Roman" w:hint="eastAsia"/>
                <w:sz w:val="24"/>
              </w:rPr>
              <w:t xml:space="preserve">the </w:t>
            </w:r>
            <w:r w:rsidRPr="000A4B9F">
              <w:rPr>
                <w:rFonts w:ascii="Times New Roman" w:hAnsi="Times New Roman"/>
                <w:sz w:val="24"/>
              </w:rPr>
              <w:t xml:space="preserve">designated delivery warehouse with broken straps or loose </w:t>
            </w:r>
            <w:r w:rsidRPr="000A4B9F">
              <w:rPr>
                <w:rFonts w:ascii="Times New Roman" w:hAnsi="Times New Roman" w:hint="eastAsia"/>
                <w:sz w:val="24"/>
              </w:rPr>
              <w:t>ingots</w:t>
            </w:r>
            <w:r w:rsidRPr="000A4B9F">
              <w:rPr>
                <w:rFonts w:ascii="Times New Roman" w:hAnsi="Times New Roman"/>
                <w:sz w:val="24"/>
              </w:rPr>
              <w:t>, the</w:t>
            </w:r>
            <w:r w:rsidRPr="000A4B9F">
              <w:rPr>
                <w:rFonts w:ascii="Times New Roman" w:hAnsi="Times New Roman" w:hint="eastAsia"/>
                <w:sz w:val="24"/>
              </w:rPr>
              <w:t xml:space="preserve"> commodities</w:t>
            </w:r>
            <w:r w:rsidRPr="000A4B9F">
              <w:rPr>
                <w:rFonts w:ascii="Times New Roman" w:hAnsi="Times New Roman"/>
                <w:sz w:val="24"/>
              </w:rPr>
              <w:t xml:space="preserve"> shall be </w:t>
            </w:r>
            <w:r w:rsidRPr="000A4B9F">
              <w:rPr>
                <w:rFonts w:ascii="Times New Roman" w:hAnsi="Times New Roman"/>
                <w:sz w:val="24"/>
              </w:rPr>
              <w:lastRenderedPageBreak/>
              <w:t xml:space="preserve">repackaged and securely tightened with specified straps before they are delivered. Any costs incurred in the reassembly shall be borne by the owner. </w:t>
            </w:r>
          </w:p>
          <w:p w:rsidR="000A4B9F" w:rsidRPr="000A4B9F" w:rsidRDefault="000A4B9F" w:rsidP="00DC2462">
            <w:pPr>
              <w:spacing w:line="360" w:lineRule="auto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0A4B9F">
              <w:rPr>
                <w:rFonts w:ascii="Times New Roman" w:hAnsi="Times New Roman"/>
                <w:sz w:val="24"/>
              </w:rPr>
              <w:t>(iii)</w:t>
            </w:r>
            <w:r w:rsidRPr="000A4B9F">
              <w:rPr>
                <w:rFonts w:ascii="Times New Roman" w:hAnsi="Times New Roman"/>
                <w:sz w:val="24"/>
              </w:rPr>
              <w:tab/>
              <w:t xml:space="preserve">Each </w:t>
            </w:r>
            <w:r w:rsidRPr="000A4B9F">
              <w:rPr>
                <w:rFonts w:ascii="Times New Roman" w:hAnsi="Times New Roman" w:hint="eastAsia"/>
                <w:sz w:val="24"/>
              </w:rPr>
              <w:t xml:space="preserve">domestically produced lead </w:t>
            </w:r>
            <w:r w:rsidRPr="000A4B9F">
              <w:rPr>
                <w:rFonts w:ascii="Times New Roman" w:hAnsi="Times New Roman"/>
                <w:sz w:val="24"/>
              </w:rPr>
              <w:t>ingot</w:t>
            </w:r>
            <w:r w:rsidRPr="000A4B9F">
              <w:rPr>
                <w:rFonts w:ascii="Times New Roman" w:hAnsi="Times New Roman" w:hint="eastAsia"/>
                <w:sz w:val="24"/>
              </w:rPr>
              <w:t xml:space="preserve"> shall</w:t>
            </w:r>
            <w:r w:rsidRPr="000A4B9F">
              <w:rPr>
                <w:rFonts w:ascii="Times New Roman" w:hAnsi="Times New Roman"/>
                <w:sz w:val="24"/>
              </w:rPr>
              <w:t xml:space="preserve"> weigh forty-eight (48) kilograms plus or minus three (±3) kilograms, forty-two (42) kilograms plus or minus two (±2) kilograms, forty (40) kilograms plus or minus two (±2) kilograms, or twenty-four (24) kilograms plus or minus one (±1) kilogram.</w:t>
            </w:r>
          </w:p>
        </w:tc>
      </w:tr>
      <w:tr w:rsidR="000A4B9F" w:rsidRPr="00F652A4" w:rsidTr="00585F30">
        <w:tc>
          <w:tcPr>
            <w:tcW w:w="6941" w:type="dxa"/>
          </w:tcPr>
          <w:p w:rsidR="000A4B9F" w:rsidRPr="000A4B9F" w:rsidRDefault="000A4B9F" w:rsidP="00F11623">
            <w:pPr>
              <w:tabs>
                <w:tab w:val="left" w:pos="1276"/>
              </w:tabs>
              <w:adjustRightInd w:val="0"/>
              <w:snapToGrid w:val="0"/>
              <w:spacing w:afterLines="5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4B9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Article 1</w:t>
            </w:r>
            <w:r w:rsidRPr="000A4B9F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83</w:t>
            </w:r>
            <w:r w:rsidRPr="000A4B9F">
              <w:rPr>
                <w:rFonts w:ascii="Times New Roman" w:hAnsi="Times New Roman"/>
                <w:sz w:val="24"/>
                <w:szCs w:val="24"/>
              </w:rPr>
              <w:tab/>
            </w:r>
            <w:r w:rsidRPr="000A4B9F">
              <w:rPr>
                <w:rFonts w:ascii="Times New Roman" w:hAnsi="Times New Roman" w:hint="eastAsia"/>
                <w:sz w:val="24"/>
                <w:szCs w:val="24"/>
              </w:rPr>
              <w:t>T</w:t>
            </w:r>
            <w:r w:rsidRPr="000A4B9F">
              <w:rPr>
                <w:rFonts w:ascii="Times New Roman" w:hAnsi="Times New Roman"/>
                <w:sz w:val="24"/>
                <w:szCs w:val="24"/>
              </w:rPr>
              <w:t xml:space="preserve">hese </w:t>
            </w:r>
            <w:r w:rsidRPr="000A4B9F">
              <w:rPr>
                <w:rFonts w:ascii="Times New Roman" w:hAnsi="Times New Roman"/>
                <w:i/>
                <w:sz w:val="24"/>
                <w:szCs w:val="24"/>
              </w:rPr>
              <w:t>Delivery Rules</w:t>
            </w:r>
            <w:r w:rsidRPr="000A4B9F">
              <w:rPr>
                <w:rFonts w:ascii="Times New Roman" w:hAnsi="Times New Roman"/>
                <w:sz w:val="24"/>
                <w:szCs w:val="24"/>
              </w:rPr>
              <w:t xml:space="preserve"> shall be implemented as of </w:t>
            </w:r>
            <w:r w:rsidRPr="000A4B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April </w:t>
            </w:r>
            <w:r w:rsidR="00F038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Pr="000A4B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 2024</w:t>
            </w:r>
            <w:r w:rsidRPr="000A4B9F">
              <w:rPr>
                <w:rFonts w:ascii="Times New Roman" w:hAnsi="Times New Roman"/>
                <w:dstrike/>
                <w:sz w:val="24"/>
                <w:szCs w:val="24"/>
              </w:rPr>
              <w:t>October 18, 2023</w:t>
            </w:r>
            <w:r w:rsidRPr="000A4B9F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0A4B9F" w:rsidRPr="000A4B9F" w:rsidRDefault="000A4B9F" w:rsidP="00DC2462">
            <w:pPr>
              <w:tabs>
                <w:tab w:val="left" w:pos="1276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4B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Article 1</w:t>
            </w:r>
            <w:r w:rsidRPr="000A4B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83</w:t>
            </w:r>
            <w:r w:rsidRPr="000A4B9F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Pr="000A4B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</w:t>
            </w:r>
            <w:r w:rsidRPr="000A4B9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hese </w:t>
            </w:r>
            <w:r w:rsidRPr="000A4B9F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Delivery Rules</w:t>
            </w:r>
            <w:r w:rsidRPr="000A4B9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shall be implemented as of October 18, 2023</w:t>
            </w:r>
            <w:r w:rsidRPr="000A4B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</w:tbl>
    <w:p w:rsidR="005778CD" w:rsidRPr="005778CD" w:rsidRDefault="005778CD" w:rsidP="0092176F"/>
    <w:sectPr w:rsidR="005778CD" w:rsidRPr="005778CD" w:rsidSect="0092176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FA9" w:rsidRDefault="00680FA9" w:rsidP="0037384E">
      <w:r>
        <w:separator/>
      </w:r>
    </w:p>
  </w:endnote>
  <w:endnote w:type="continuationSeparator" w:id="1">
    <w:p w:rsidR="00680FA9" w:rsidRDefault="00680FA9" w:rsidP="00373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andard: Pb99.994 lead ingo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406172"/>
      <w:docPartObj>
        <w:docPartGallery w:val="Page Numbers (Bottom of Page)"/>
        <w:docPartUnique/>
      </w:docPartObj>
    </w:sdtPr>
    <w:sdtContent>
      <w:p w:rsidR="00BA1BE5" w:rsidRDefault="00394107">
        <w:pPr>
          <w:pStyle w:val="a6"/>
          <w:jc w:val="center"/>
        </w:pPr>
        <w:r>
          <w:fldChar w:fldCharType="begin"/>
        </w:r>
        <w:r w:rsidR="00BA1BE5">
          <w:instrText>PAGE   \* MERGEFORMAT</w:instrText>
        </w:r>
        <w:r>
          <w:fldChar w:fldCharType="separate"/>
        </w:r>
        <w:r w:rsidR="0092176F" w:rsidRPr="0092176F">
          <w:rPr>
            <w:noProof/>
            <w:lang w:val="zh-CN"/>
          </w:rPr>
          <w:t>1</w:t>
        </w:r>
        <w:r>
          <w:fldChar w:fldCharType="end"/>
        </w:r>
      </w:p>
    </w:sdtContent>
  </w:sdt>
  <w:p w:rsidR="00BA1BE5" w:rsidRDefault="00BA1B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FA9" w:rsidRDefault="00680FA9" w:rsidP="0037384E">
      <w:r>
        <w:separator/>
      </w:r>
    </w:p>
  </w:footnote>
  <w:footnote w:type="continuationSeparator" w:id="1">
    <w:p w:rsidR="00680FA9" w:rsidRDefault="00680FA9" w:rsidP="00373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2774D"/>
    <w:multiLevelType w:val="multilevel"/>
    <w:tmpl w:val="6002774D"/>
    <w:lvl w:ilvl="0">
      <w:start w:val="1"/>
      <w:numFmt w:val="bullet"/>
      <w:lvlText w:val="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夏菁">
    <w15:presenceInfo w15:providerId="AD" w15:userId="S-1-5-21-1594728124-3480960435-1722576341-2011"/>
  </w15:person>
  <w15:person w15:author="季铄人">
    <w15:presenceInfo w15:providerId="AD" w15:userId="S-1-5-21-1594728124-3480960435-1722576341-695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77D"/>
    <w:rsid w:val="00005086"/>
    <w:rsid w:val="00080B07"/>
    <w:rsid w:val="000853BC"/>
    <w:rsid w:val="000A4B9F"/>
    <w:rsid w:val="000E1F26"/>
    <w:rsid w:val="00107CC5"/>
    <w:rsid w:val="0016777D"/>
    <w:rsid w:val="00171FDF"/>
    <w:rsid w:val="00284E29"/>
    <w:rsid w:val="00313A5E"/>
    <w:rsid w:val="003468EA"/>
    <w:rsid w:val="00350826"/>
    <w:rsid w:val="0037384E"/>
    <w:rsid w:val="00394107"/>
    <w:rsid w:val="004759DF"/>
    <w:rsid w:val="0047696B"/>
    <w:rsid w:val="00482374"/>
    <w:rsid w:val="005778CD"/>
    <w:rsid w:val="00585F30"/>
    <w:rsid w:val="00680FA9"/>
    <w:rsid w:val="00713F80"/>
    <w:rsid w:val="007A6052"/>
    <w:rsid w:val="007C5426"/>
    <w:rsid w:val="009020A4"/>
    <w:rsid w:val="0092176F"/>
    <w:rsid w:val="00992B95"/>
    <w:rsid w:val="00A41A90"/>
    <w:rsid w:val="00A811EE"/>
    <w:rsid w:val="00B151A6"/>
    <w:rsid w:val="00BA1BE5"/>
    <w:rsid w:val="00BE6E40"/>
    <w:rsid w:val="00C10C14"/>
    <w:rsid w:val="00CA69B6"/>
    <w:rsid w:val="00D7375E"/>
    <w:rsid w:val="00DC2462"/>
    <w:rsid w:val="00DD51BA"/>
    <w:rsid w:val="00E23831"/>
    <w:rsid w:val="00E60B45"/>
    <w:rsid w:val="00F0383E"/>
    <w:rsid w:val="00F11623"/>
    <w:rsid w:val="00FB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90"/>
    <w:pPr>
      <w:widowControl w:val="0"/>
      <w:jc w:val="both"/>
    </w:pPr>
  </w:style>
  <w:style w:type="paragraph" w:styleId="1">
    <w:name w:val="heading 1"/>
    <w:basedOn w:val="a"/>
    <w:next w:val="a"/>
    <w:link w:val="1Char2"/>
    <w:uiPriority w:val="9"/>
    <w:qFormat/>
    <w:rsid w:val="005778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next w:val="a"/>
    <w:link w:val="2Char1"/>
    <w:uiPriority w:val="9"/>
    <w:qFormat/>
    <w:rsid w:val="005778CD"/>
    <w:pPr>
      <w:keepNext/>
      <w:keepLines/>
      <w:spacing w:after="354" w:line="265" w:lineRule="auto"/>
      <w:ind w:left="10" w:hanging="10"/>
      <w:outlineLvl w:val="1"/>
    </w:pPr>
    <w:rPr>
      <w:rFonts w:ascii="Cambria" w:eastAsia="Cambria" w:hAnsi="Cambria" w:cs="Times New Roman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uiPriority w:val="9"/>
    <w:rsid w:val="005778C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rsid w:val="005778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2">
    <w:name w:val="标题 1 Char2"/>
    <w:link w:val="1"/>
    <w:uiPriority w:val="9"/>
    <w:rsid w:val="005778C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">
    <w:name w:val="标题 2 Char1"/>
    <w:link w:val="2"/>
    <w:uiPriority w:val="9"/>
    <w:rsid w:val="005778CD"/>
    <w:rPr>
      <w:rFonts w:ascii="Cambria" w:eastAsia="Cambria" w:hAnsi="Cambria" w:cs="Times New Roman"/>
      <w:b/>
      <w:color w:val="000000"/>
      <w:kern w:val="0"/>
      <w:sz w:val="28"/>
      <w:szCs w:val="20"/>
    </w:rPr>
  </w:style>
  <w:style w:type="paragraph" w:styleId="a4">
    <w:name w:val="annotation text"/>
    <w:basedOn w:val="a"/>
    <w:link w:val="Char2"/>
    <w:uiPriority w:val="99"/>
    <w:unhideWhenUsed/>
    <w:qFormat/>
    <w:rsid w:val="005778CD"/>
    <w:pPr>
      <w:jc w:val="left"/>
    </w:pPr>
    <w:rPr>
      <w:rFonts w:ascii="等线" w:eastAsia="等线" w:hAnsi="等线" w:cs="Times New Roman"/>
    </w:rPr>
  </w:style>
  <w:style w:type="character" w:customStyle="1" w:styleId="Char">
    <w:name w:val="批注文字 Char"/>
    <w:basedOn w:val="a0"/>
    <w:uiPriority w:val="99"/>
    <w:rsid w:val="005778CD"/>
  </w:style>
  <w:style w:type="character" w:customStyle="1" w:styleId="Char2">
    <w:name w:val="批注文字 Char2"/>
    <w:link w:val="a4"/>
    <w:uiPriority w:val="99"/>
    <w:rsid w:val="005778CD"/>
    <w:rPr>
      <w:rFonts w:ascii="等线" w:eastAsia="等线" w:hAnsi="等线" w:cs="Times New Roman"/>
    </w:rPr>
  </w:style>
  <w:style w:type="paragraph" w:styleId="a5">
    <w:name w:val="Balloon Text"/>
    <w:basedOn w:val="a"/>
    <w:link w:val="Char1"/>
    <w:uiPriority w:val="99"/>
    <w:unhideWhenUsed/>
    <w:qFormat/>
    <w:rsid w:val="005778CD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uiPriority w:val="99"/>
    <w:rsid w:val="005778CD"/>
    <w:rPr>
      <w:sz w:val="18"/>
      <w:szCs w:val="18"/>
    </w:rPr>
  </w:style>
  <w:style w:type="character" w:customStyle="1" w:styleId="Char1">
    <w:name w:val="批注框文本 Char1"/>
    <w:link w:val="a5"/>
    <w:uiPriority w:val="99"/>
    <w:rsid w:val="005778C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0"/>
    <w:uiPriority w:val="99"/>
    <w:unhideWhenUsed/>
    <w:qFormat/>
    <w:rsid w:val="005778C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0"/>
    <w:uiPriority w:val="99"/>
    <w:rsid w:val="005778CD"/>
    <w:rPr>
      <w:sz w:val="18"/>
      <w:szCs w:val="18"/>
    </w:rPr>
  </w:style>
  <w:style w:type="character" w:customStyle="1" w:styleId="Char10">
    <w:name w:val="页脚 Char1"/>
    <w:link w:val="a6"/>
    <w:uiPriority w:val="99"/>
    <w:rsid w:val="005778CD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1"/>
    <w:uiPriority w:val="99"/>
    <w:unhideWhenUsed/>
    <w:rsid w:val="0057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4">
    <w:name w:val="页眉 Char"/>
    <w:basedOn w:val="a0"/>
    <w:uiPriority w:val="99"/>
    <w:rsid w:val="005778CD"/>
    <w:rPr>
      <w:sz w:val="18"/>
      <w:szCs w:val="18"/>
    </w:rPr>
  </w:style>
  <w:style w:type="character" w:customStyle="1" w:styleId="Char11">
    <w:name w:val="页眉 Char1"/>
    <w:link w:val="a7"/>
    <w:uiPriority w:val="99"/>
    <w:rsid w:val="005778CD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rsid w:val="005778C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sz w:val="24"/>
      <w:szCs w:val="20"/>
      <w:lang w:eastAsia="en-US"/>
    </w:rPr>
  </w:style>
  <w:style w:type="paragraph" w:styleId="a9">
    <w:name w:val="annotation subject"/>
    <w:basedOn w:val="a4"/>
    <w:next w:val="a4"/>
    <w:link w:val="Char20"/>
    <w:uiPriority w:val="99"/>
    <w:unhideWhenUsed/>
    <w:rsid w:val="005778CD"/>
    <w:rPr>
      <w:b/>
      <w:bCs/>
      <w:kern w:val="0"/>
      <w:sz w:val="20"/>
      <w:szCs w:val="20"/>
    </w:rPr>
  </w:style>
  <w:style w:type="character" w:customStyle="1" w:styleId="Char5">
    <w:name w:val="批注主题 Char"/>
    <w:basedOn w:val="Char"/>
    <w:uiPriority w:val="99"/>
    <w:rsid w:val="005778CD"/>
    <w:rPr>
      <w:b/>
      <w:bCs/>
    </w:rPr>
  </w:style>
  <w:style w:type="character" w:customStyle="1" w:styleId="Char20">
    <w:name w:val="批注主题 Char2"/>
    <w:link w:val="a9"/>
    <w:uiPriority w:val="99"/>
    <w:rsid w:val="005778CD"/>
    <w:rPr>
      <w:rFonts w:ascii="等线" w:eastAsia="等线" w:hAnsi="等线" w:cs="Times New Roman"/>
      <w:b/>
      <w:bCs/>
      <w:kern w:val="0"/>
      <w:sz w:val="20"/>
      <w:szCs w:val="20"/>
    </w:rPr>
  </w:style>
  <w:style w:type="character" w:styleId="aa">
    <w:name w:val="FollowedHyperlink"/>
    <w:unhideWhenUsed/>
    <w:rsid w:val="005778CD"/>
    <w:rPr>
      <w:color w:val="800080"/>
      <w:u w:val="single"/>
    </w:rPr>
  </w:style>
  <w:style w:type="character" w:styleId="ab">
    <w:name w:val="Emphasis"/>
    <w:qFormat/>
    <w:rsid w:val="005778CD"/>
    <w:rPr>
      <w:i/>
      <w:iCs/>
    </w:rPr>
  </w:style>
  <w:style w:type="character" w:styleId="ac">
    <w:name w:val="Hyperlink"/>
    <w:unhideWhenUsed/>
    <w:rsid w:val="005778CD"/>
    <w:rPr>
      <w:color w:val="0000FF"/>
      <w:u w:val="single"/>
    </w:rPr>
  </w:style>
  <w:style w:type="character" w:styleId="ad">
    <w:name w:val="annotation reference"/>
    <w:uiPriority w:val="99"/>
    <w:unhideWhenUsed/>
    <w:rsid w:val="005778CD"/>
    <w:rPr>
      <w:sz w:val="21"/>
      <w:szCs w:val="21"/>
    </w:rPr>
  </w:style>
  <w:style w:type="table" w:customStyle="1" w:styleId="TableGrid">
    <w:name w:val="TableGrid"/>
    <w:rsid w:val="005778CD"/>
    <w:rPr>
      <w:rFonts w:ascii="等线" w:eastAsia="等线" w:hAnsi="等线" w:cs="Times New Roman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5778CD"/>
    <w:pPr>
      <w:ind w:firstLineChars="200" w:firstLine="420"/>
    </w:pPr>
    <w:rPr>
      <w:rFonts w:ascii="等线" w:eastAsia="等线" w:hAnsi="等线" w:cs="Times New Roman"/>
    </w:rPr>
  </w:style>
  <w:style w:type="paragraph" w:styleId="af">
    <w:name w:val="Revision"/>
    <w:uiPriority w:val="99"/>
    <w:semiHidden/>
    <w:rsid w:val="005778CD"/>
    <w:rPr>
      <w:rFonts w:ascii="等线" w:eastAsia="等线" w:hAnsi="等线" w:cs="Times New Roman"/>
    </w:rPr>
  </w:style>
  <w:style w:type="character" w:customStyle="1" w:styleId="1Char1">
    <w:name w:val="标题 1 Char1"/>
    <w:rsid w:val="005778C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2">
    <w:name w:val="批注文字 Char1"/>
    <w:rsid w:val="005778CD"/>
    <w:rPr>
      <w:rFonts w:ascii="Calibri" w:eastAsia="宋体" w:hAnsi="Calibri" w:cs="Times New Roman"/>
    </w:rPr>
  </w:style>
  <w:style w:type="character" w:customStyle="1" w:styleId="Char13">
    <w:name w:val="批注主题 Char1"/>
    <w:semiHidden/>
    <w:rsid w:val="005778CD"/>
    <w:rPr>
      <w:rFonts w:ascii="Calibri" w:eastAsia="宋体" w:hAnsi="Calibri" w:cs="Times New Roman"/>
      <w:b/>
      <w:bCs/>
      <w:kern w:val="0"/>
      <w:sz w:val="20"/>
      <w:szCs w:val="20"/>
    </w:rPr>
  </w:style>
  <w:style w:type="paragraph" w:customStyle="1" w:styleId="CM16">
    <w:name w:val="CM16"/>
    <w:basedOn w:val="a"/>
    <w:next w:val="a"/>
    <w:rsid w:val="005778CD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Default">
    <w:name w:val="Default"/>
    <w:rsid w:val="005778CD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5778CD"/>
    <w:rPr>
      <w:rFonts w:cs="Times New Roman"/>
      <w:color w:val="auto"/>
    </w:rPr>
  </w:style>
  <w:style w:type="paragraph" w:customStyle="1" w:styleId="CM11">
    <w:name w:val="CM11"/>
    <w:basedOn w:val="a"/>
    <w:next w:val="a"/>
    <w:rsid w:val="005778CD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character" w:customStyle="1" w:styleId="10">
    <w:name w:val="批注文字 字符1"/>
    <w:uiPriority w:val="99"/>
    <w:semiHidden/>
    <w:rsid w:val="005778CD"/>
    <w:rPr>
      <w:rFonts w:ascii="Calibri" w:eastAsia="宋体" w:hAnsi="Calibri" w:cs="Times New Roman"/>
    </w:rPr>
  </w:style>
  <w:style w:type="paragraph" w:customStyle="1" w:styleId="CM21">
    <w:name w:val="CM21"/>
    <w:basedOn w:val="a"/>
    <w:next w:val="a"/>
    <w:rsid w:val="005778CD"/>
    <w:pPr>
      <w:autoSpaceDE w:val="0"/>
      <w:autoSpaceDN w:val="0"/>
      <w:adjustRightInd w:val="0"/>
      <w:spacing w:line="403" w:lineRule="atLeast"/>
      <w:jc w:val="left"/>
    </w:pPr>
    <w:rPr>
      <w:rFonts w:ascii="方正大标宋简体" w:eastAsia="方正大标宋简体" w:hAnsi="Times New Roman" w:cs="方正大标宋简体"/>
      <w:kern w:val="0"/>
      <w:sz w:val="24"/>
      <w:szCs w:val="24"/>
    </w:rPr>
  </w:style>
  <w:style w:type="character" w:customStyle="1" w:styleId="11">
    <w:name w:val="批注主题 字符1"/>
    <w:uiPriority w:val="99"/>
    <w:semiHidden/>
    <w:qFormat/>
    <w:rsid w:val="005778CD"/>
    <w:rPr>
      <w:rFonts w:ascii="Calibri" w:eastAsia="宋体" w:hAnsi="Calibri" w:cs="Times New Roman"/>
      <w:b/>
      <w:bCs/>
    </w:rPr>
  </w:style>
  <w:style w:type="character" w:customStyle="1" w:styleId="12">
    <w:name w:val="页码1"/>
    <w:qFormat/>
    <w:rsid w:val="005778CD"/>
  </w:style>
  <w:style w:type="paragraph" w:customStyle="1" w:styleId="Af0">
    <w:name w:val="正文 A"/>
    <w:rsid w:val="005778CD"/>
    <w:pPr>
      <w:widowControl w:val="0"/>
      <w:jc w:val="both"/>
    </w:pPr>
    <w:rPr>
      <w:rFonts w:ascii="Calibri" w:eastAsia="Calibri" w:hAnsi="Calibri" w:cs="Calibri"/>
      <w:color w:val="000000"/>
      <w:szCs w:val="21"/>
    </w:rPr>
  </w:style>
  <w:style w:type="paragraph" w:customStyle="1" w:styleId="Revision1">
    <w:name w:val="Revision1"/>
    <w:uiPriority w:val="99"/>
    <w:semiHidden/>
    <w:rsid w:val="005778CD"/>
    <w:rPr>
      <w:rFonts w:ascii="Calibri" w:eastAsia="宋体" w:hAnsi="Calibri" w:cs="Times New Roman"/>
    </w:rPr>
  </w:style>
  <w:style w:type="table" w:customStyle="1" w:styleId="TableGrid1">
    <w:name w:val="TableGrid1"/>
    <w:rsid w:val="005778CD"/>
    <w:rPr>
      <w:rFonts w:ascii="等线" w:eastAsia="等线" w:hAnsi="等线" w:cs="Times New Roman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ltaViewInsertion">
    <w:name w:val="DeltaView Insertion"/>
    <w:uiPriority w:val="99"/>
    <w:rsid w:val="005778CD"/>
    <w:rPr>
      <w:color w:val="0000FF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2D329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3632</Characters>
  <Application>Microsoft Office Word</Application>
  <DocSecurity>0</DocSecurity>
  <Lines>30</Lines>
  <Paragraphs>8</Paragraphs>
  <ScaleCrop>false</ScaleCrop>
  <Company>SHFE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季铄人</dc:creator>
  <cp:lastModifiedBy>朱凤侠</cp:lastModifiedBy>
  <cp:revision>2</cp:revision>
  <cp:lastPrinted>2024-04-12T02:27:00Z</cp:lastPrinted>
  <dcterms:created xsi:type="dcterms:W3CDTF">2024-04-12T11:33:00Z</dcterms:created>
  <dcterms:modified xsi:type="dcterms:W3CDTF">2024-04-12T11:33:00Z</dcterms:modified>
</cp:coreProperties>
</file>